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d9be713403532349e8941bef5e7f6d3100bb373"/>
      <w:r>
        <w:t xml:space="preserve">THE AB LEGACY TRUST — PLAIN-ENGLISH EXPLAINER</w:t>
      </w:r>
      <w:bookmarkEnd w:id="20"/>
    </w:p>
    <w:p>
      <w:pPr>
        <w:pStyle w:val="FirstParagraph"/>
      </w:pPr>
      <w:r>
        <w:rPr>
          <w:b/>
        </w:rPr>
        <w:t xml:space="preserve">For: Jason Greenberg, Gina Anderson, Katie Van Cleave, and Vince Caruso</w:t>
      </w:r>
      <w:r>
        <w:t xml:space="preserve"> </w:t>
      </w:r>
      <w:r>
        <w:rPr>
          <w:b/>
        </w:rPr>
        <w:t xml:space="preserve">Prepared by: The Genesis Wealth Sovereignty Research System</w:t>
      </w:r>
      <w:r>
        <w:t xml:space="preserve"> </w:t>
      </w:r>
      <w:r>
        <w:rPr>
          <w:b/>
        </w:rPr>
        <w:t xml:space="preserve">Attorney review: Shawn Olson, Esq. (Huntington Beach, California)</w:t>
      </w:r>
    </w:p>
    <w:p>
      <w:r>
        <w:pict>
          <v:rect style="width:0;height:1.5pt" o:hralign="center" o:hrstd="t" o:hr="t"/>
        </w:pict>
      </w:r>
    </w:p>
    <w:p>
      <w:pPr>
        <w:pStyle w:val="Heading2"/>
      </w:pPr>
      <w:bookmarkStart w:id="21" w:name="why-we-wrote-this-document"/>
      <w:r>
        <w:t xml:space="preserve">WHY WE WROTE THIS DOCUMENT</w:t>
      </w:r>
      <w:bookmarkEnd w:id="21"/>
    </w:p>
    <w:p>
      <w:pPr>
        <w:pStyle w:val="FirstParagraph"/>
      </w:pPr>
      <w:r>
        <w:t xml:space="preserve">The Trust Agreement you just received is 700+ lines of legal drafting. It has to be that careful, because it is the instrument that will hold your property, transmit it to your children, and stand up to lenders, tax assessors, creditors, and courts for the next generation. But you should not have to read it cover to cover to understand what it does.</w:t>
      </w:r>
    </w:p>
    <w:p>
      <w:pPr>
        <w:pStyle w:val="BodyText"/>
      </w:pPr>
      <w:r>
        <w:t xml:space="preserve">This document is the plain-English companion. It explains what a land trust is, why we built yours the way we did, what you need to know before signing, and what you will need to do after signing to keep it working. If at any point you want the legal detail, the Trust Agreement has it. This document is the map.</w:t>
      </w:r>
    </w:p>
    <w:p>
      <w:r>
        <w:pict>
          <v:rect style="width:0;height:1.5pt" o:hralign="center" o:hrstd="t" o:hr="t"/>
        </w:pict>
      </w:r>
    </w:p>
    <w:p>
      <w:pPr>
        <w:pStyle w:val="Heading2"/>
      </w:pPr>
      <w:bookmarkStart w:id="22" w:name="what-a-land-trust-is-and-what-it-is-not"/>
      <w:r>
        <w:t xml:space="preserve">WHAT A LAND TRUST IS — AND WHAT IT IS NOT</w:t>
      </w:r>
      <w:bookmarkEnd w:id="22"/>
    </w:p>
    <w:p>
      <w:pPr>
        <w:pStyle w:val="FirstParagraph"/>
      </w:pPr>
      <w:r>
        <w:rPr>
          <w:b/>
        </w:rPr>
        <w:t xml:space="preserve">A land trust is a private arrangement</w:t>
      </w:r>
      <w:r>
        <w:t xml:space="preserve"> </w:t>
      </w:r>
      <w:r>
        <w:t xml:space="preserve">with three roles:</w:t>
      </w:r>
    </w:p>
    <w:p>
      <w:pPr>
        <w:numPr>
          <w:ilvl w:val="0"/>
          <w:numId w:val="1001"/>
        </w:numPr>
        <w:pStyle w:val="Compact"/>
      </w:pPr>
      <w:r>
        <w:t xml:space="preserve">A</w:t>
      </w:r>
      <w:r>
        <w:t xml:space="preserve"> </w:t>
      </w:r>
      <w:r>
        <w:rPr>
          <w:b/>
        </w:rPr>
        <w:t xml:space="preserve">Grantor</w:t>
      </w:r>
      <w:r>
        <w:t xml:space="preserve"> </w:t>
      </w:r>
      <w:r>
        <w:t xml:space="preserve">(you, Jason and Gina) who transfers property into the trust.</w:t>
      </w:r>
    </w:p>
    <w:p>
      <w:pPr>
        <w:numPr>
          <w:ilvl w:val="0"/>
          <w:numId w:val="1001"/>
        </w:numPr>
        <w:pStyle w:val="Compact"/>
      </w:pPr>
      <w:r>
        <w:t xml:space="preserve">A</w:t>
      </w:r>
      <w:r>
        <w:t xml:space="preserve"> </w:t>
      </w:r>
      <w:r>
        <w:rPr>
          <w:b/>
        </w:rPr>
        <w:t xml:space="preserve">Trustee</w:t>
      </w:r>
      <w:r>
        <w:t xml:space="preserve"> </w:t>
      </w:r>
      <w:r>
        <w:t xml:space="preserve">(Katie) who takes recorded legal title in her own name.</w:t>
      </w:r>
    </w:p>
    <w:p>
      <w:pPr>
        <w:numPr>
          <w:ilvl w:val="0"/>
          <w:numId w:val="1001"/>
        </w:numPr>
        <w:pStyle w:val="Compact"/>
      </w:pPr>
      <w:r>
        <w:t xml:space="preserve">A</w:t>
      </w:r>
      <w:r>
        <w:t xml:space="preserve"> </w:t>
      </w:r>
      <w:r>
        <w:rPr>
          <w:b/>
        </w:rPr>
        <w:t xml:space="preserve">Beneficiary</w:t>
      </w:r>
      <w:r>
        <w:t xml:space="preserve"> </w:t>
      </w:r>
      <w:r>
        <w:t xml:space="preserve">(you again — the Grantors are also the Beneficiaries during your joint lifetime) who keeps every meaningful right over the property — the right to direct the sale, lease, mortgage, and management of it; the right to live in it; the right to receive all income and proceeds; and the right to pass it along.</w:t>
      </w:r>
    </w:p>
    <w:p>
      <w:pPr>
        <w:pStyle w:val="FirstParagraph"/>
      </w:pPr>
      <w:r>
        <w:rPr>
          <w:b/>
        </w:rPr>
        <w:t xml:space="preserve">When someone looks up your home on Zillow, in the county recorder’s office, at ATTOM, or on any property-data aggregator, they will see Katie Van Cleave’s name as Trustee. They will not see yours.</w:t>
      </w:r>
      <w:r>
        <w:t xml:space="preserve"> </w:t>
      </w:r>
      <w:r>
        <w:t xml:space="preserve">That is the privacy feature.</w:t>
      </w:r>
    </w:p>
    <w:p>
      <w:pPr>
        <w:pStyle w:val="BodyText"/>
      </w:pPr>
      <w:r>
        <w:rPr>
          <w:b/>
        </w:rPr>
        <w:t xml:space="preserve">The most important legal trick inside the land trust:</w:t>
      </w:r>
      <w:r>
        <w:t xml:space="preserve"> </w:t>
      </w:r>
      <w:r>
        <w:t xml:space="preserve">your interest as a Beneficiary is classified as</w:t>
      </w:r>
      <w:r>
        <w:t xml:space="preserve"> </w:t>
      </w:r>
      <w:r>
        <w:rPr>
          <w:b/>
        </w:rPr>
        <w:t xml:space="preserve">personal property</w:t>
      </w:r>
      <w:r>
        <w:t xml:space="preserve"> </w:t>
      </w:r>
      <w:r>
        <w:t xml:space="preserve">— not real property. That sounds technical, but it unlocks almost every useful feature of the structure:</w:t>
      </w:r>
    </w:p>
    <w:p>
      <w:pPr>
        <w:numPr>
          <w:ilvl w:val="0"/>
          <w:numId w:val="1002"/>
        </w:numPr>
        <w:pStyle w:val="Compact"/>
      </w:pPr>
      <w:r>
        <w:t xml:space="preserve">Your interest can transfer between you, your children, or an LLC without recording a new deed.</w:t>
      </w:r>
    </w:p>
    <w:p>
      <w:pPr>
        <w:numPr>
          <w:ilvl w:val="0"/>
          <w:numId w:val="1002"/>
        </w:numPr>
        <w:pStyle w:val="Compact"/>
      </w:pPr>
      <w:r>
        <w:t xml:space="preserve">A creditor who wins a judgment against one of you cannot automatically attach the house — they have to go through personal-property levy procedures, which are slower, costlier, and often not worth it.</w:t>
      </w:r>
    </w:p>
    <w:p>
      <w:pPr>
        <w:numPr>
          <w:ilvl w:val="0"/>
          <w:numId w:val="1002"/>
        </w:numPr>
        <w:pStyle w:val="Compact"/>
      </w:pPr>
      <w:r>
        <w:t xml:space="preserve">If something happens to you, the interest passes by the terms of the Trust Agreement, not through a California probate court. Probate in California, for a house worth over roughly $184,500, costs</w:t>
      </w:r>
      <w:r>
        <w:t xml:space="preserve"> </w:t>
      </w:r>
      <w:r>
        <w:rPr>
          <w:b/>
        </w:rPr>
        <w:t xml:space="preserve">4% of the first $100,000, 3% of the next $100,000, 2% of the next $800,000, 1% of the next $9 million</w:t>
      </w:r>
      <w:r>
        <w:t xml:space="preserve"> </w:t>
      </w:r>
      <w:r>
        <w:t xml:space="preserve">in statutory attorney’s fees alone (California Probate Code § 10810), plus the same again for the executor. On a $2,000,000 house, that is roughly $66,000 in fees — avoided entirely.</w:t>
      </w:r>
    </w:p>
    <w:p>
      <w:pPr>
        <w:numPr>
          <w:ilvl w:val="0"/>
          <w:numId w:val="1002"/>
        </w:numPr>
        <w:pStyle w:val="Compact"/>
      </w:pPr>
      <w:r>
        <w:t xml:space="preserve">There is no partition action risk. If you put the property in the trust with someone else as a Beneficiary, one of you cannot force the sale by going to court under California’s partition statute.</w:t>
      </w:r>
    </w:p>
    <w:p>
      <w:pPr>
        <w:pStyle w:val="FirstParagraph"/>
      </w:pPr>
      <w:r>
        <w:rPr>
          <w:b/>
        </w:rPr>
        <w:t xml:space="preserve">What the land trust is NOT:</w:t>
      </w:r>
    </w:p>
    <w:p>
      <w:pPr>
        <w:numPr>
          <w:ilvl w:val="0"/>
          <w:numId w:val="1003"/>
        </w:numPr>
        <w:pStyle w:val="Compact"/>
      </w:pPr>
      <w:r>
        <w:rPr>
          <w:b/>
        </w:rPr>
        <w:t xml:space="preserve">Not a tax shelter.</w:t>
      </w:r>
      <w:r>
        <w:t xml:space="preserve"> </w:t>
      </w:r>
      <w:r>
        <w:t xml:space="preserve">The IRS treats it as if it doesn’t exist — it is a</w:t>
      </w:r>
      <w:r>
        <w:t xml:space="preserve"> </w:t>
      </w:r>
      <w:r>
        <w:t xml:space="preserve">“</w:t>
      </w:r>
      <w:r>
        <w:t xml:space="preserve">grantor trust</w:t>
      </w:r>
      <w:r>
        <w:t xml:space="preserve">”</w:t>
      </w:r>
      <w:r>
        <w:t xml:space="preserve"> </w:t>
      </w:r>
      <w:r>
        <w:t xml:space="preserve">under IRC §§ 671–679 and a disregarded entity under IRS Rev. Rul. 92-105. Every dollar of income, gain, expense, and deduction still flows to your personal tax return, exactly as if you owned the property in your own name. That is a feature, not a bug — it means no separate trust tax return to file, no EIN to obtain, no new accounting system.</w:t>
      </w:r>
    </w:p>
    <w:p>
      <w:pPr>
        <w:numPr>
          <w:ilvl w:val="0"/>
          <w:numId w:val="1003"/>
        </w:numPr>
        <w:pStyle w:val="Compact"/>
      </w:pPr>
      <w:r>
        <w:rPr>
          <w:b/>
        </w:rPr>
        <w:t xml:space="preserve">Not, standing alone, an asset-protection shield.</w:t>
      </w:r>
      <w:r>
        <w:t xml:space="preserve"> </w:t>
      </w:r>
      <w:r>
        <w:t xml:space="preserve">A motivated plaintiff with a good lawyer can still reach you. The land trust’s job is privacy and probate avoidance. For real asset protection you need to add an LLC on top of the trust (discussed later in this document).</w:t>
      </w:r>
    </w:p>
    <w:p>
      <w:pPr>
        <w:numPr>
          <w:ilvl w:val="0"/>
          <w:numId w:val="1003"/>
        </w:numPr>
        <w:pStyle w:val="Compact"/>
      </w:pPr>
      <w:r>
        <w:rPr>
          <w:b/>
        </w:rPr>
        <w:t xml:space="preserve">Not a way to hide from the IRS.</w:t>
      </w:r>
      <w:r>
        <w:t xml:space="preserve"> </w:t>
      </w:r>
      <w:r>
        <w:t xml:space="preserve">Federal tax liens and federal tax levies penetrate land trusts directly (</w:t>
      </w:r>
      <w:r>
        <w:rPr>
          <w:i/>
        </w:rPr>
        <w:t xml:space="preserve">Drye v. United States</w:t>
      </w:r>
      <w:r>
        <w:t xml:space="preserve">, 528 U.S. 49 (1999)). The Trustee is legally required to respect an IRS levy. This Trust does not pretend otherwise.</w:t>
      </w:r>
    </w:p>
    <w:p>
      <w:pPr>
        <w:numPr>
          <w:ilvl w:val="0"/>
          <w:numId w:val="1003"/>
        </w:numPr>
        <w:pStyle w:val="Compact"/>
      </w:pPr>
      <w:r>
        <w:rPr>
          <w:b/>
        </w:rPr>
        <w:t xml:space="preserve">Not a FinCEN workaround.</w:t>
      </w:r>
      <w:r>
        <w:t xml:space="preserve"> </w:t>
      </w:r>
      <w:r>
        <w:t xml:space="preserve">The federal Corporate Transparency Act and the new FinCEN Residential Real Estate Reporting Rule (effective December 1, 2025) still apply. The disclosures they require go to the government, not to the public.</w:t>
      </w:r>
    </w:p>
    <w:p>
      <w:r>
        <w:pict>
          <v:rect style="width:0;height:1.5pt" o:hralign="center" o:hrstd="t" o:hr="t"/>
        </w:pict>
      </w:r>
    </w:p>
    <w:p>
      <w:pPr>
        <w:pStyle w:val="Heading2"/>
      </w:pPr>
      <w:bookmarkStart w:id="23" w:name="Xff17f24afb5f8b98e163b3bdc29eeb1f6fa46cc"/>
      <w:r>
        <w:t xml:space="preserve">WHY AN INDIVIDUAL TRUSTEE (KATIE) — NOT A BANK</w:t>
      </w:r>
      <w:bookmarkEnd w:id="23"/>
    </w:p>
    <w:p>
      <w:pPr>
        <w:pStyle w:val="FirstParagraph"/>
      </w:pPr>
      <w:r>
        <w:t xml:space="preserve">The title-company sample Vince received had a bank-as-trustee (typical of Illinois practice). We deliberately chose a different route. Here is the reasoning.</w:t>
      </w:r>
    </w:p>
    <w:p>
      <w:pPr>
        <w:pStyle w:val="BodyText"/>
      </w:pPr>
      <w:r>
        <w:rPr>
          <w:b/>
        </w:rPr>
        <w:t xml:space="preserve">A bank trustee charges every year, indefinitely.</w:t>
      </w:r>
      <w:r>
        <w:t xml:space="preserve"> </w:t>
      </w:r>
      <w:r>
        <w:t xml:space="preserve">For a one-property family trust in California, that is a permanent drag with no matching benefit. Katie — as a trusted friend or family member accepting the role on the family’s terms — costs nothing beyond whatever compensation the family decides to provide.</w:t>
      </w:r>
    </w:p>
    <w:p>
      <w:pPr>
        <w:pStyle w:val="BodyText"/>
      </w:pPr>
      <w:r>
        <w:rPr>
          <w:b/>
        </w:rPr>
        <w:t xml:space="preserve">A bank trustee is slow.</w:t>
      </w:r>
      <w:r>
        <w:t xml:space="preserve"> </w:t>
      </w:r>
      <w:r>
        <w:t xml:space="preserve">Every directive must route through a trust officer, committee, internal counsel. For a family that may need to refinance quickly, sign a lease, or respond to an insurance claim, a bank’s three-week turnaround is a real cost.</w:t>
      </w:r>
    </w:p>
    <w:p>
      <w:pPr>
        <w:pStyle w:val="BodyText"/>
      </w:pPr>
      <w:r>
        <w:rPr>
          <w:b/>
        </w:rPr>
        <w:t xml:space="preserve">A bank trustee can refuse.</w:t>
      </w:r>
      <w:r>
        <w:t xml:space="preserve"> </w:t>
      </w:r>
      <w:r>
        <w:t xml:space="preserve">Institutional trustees periodically decline instructions they deem unusual, risky, or outside their policy, and they are protected in doing so by their own governance documents. An individual trustee with clear written instructions from the Beneficiaries cannot second-guess.</w:t>
      </w:r>
    </w:p>
    <w:p>
      <w:pPr>
        <w:pStyle w:val="BodyText"/>
      </w:pPr>
      <w:r>
        <w:rPr>
          <w:b/>
        </w:rPr>
        <w:t xml:space="preserve">An individual trustee delivers genuine privacy.</w:t>
      </w:r>
      <w:r>
        <w:t xml:space="preserve"> </w:t>
      </w:r>
      <w:r>
        <w:t xml:space="preserve">The bank’s name ends up in every title-company database and is easily reverse-mapped to the kind of wealthy client that opens a title-holding trust account with them. An individual’s name blends in.</w:t>
      </w:r>
    </w:p>
    <w:p>
      <w:pPr>
        <w:pStyle w:val="BodyText"/>
      </w:pPr>
      <w:r>
        <w:rPr>
          <w:b/>
        </w:rPr>
        <w:t xml:space="preserve">The California Professional Fiduciaries Act does not require Katie to register.</w:t>
      </w:r>
      <w:r>
        <w:t xml:space="preserve"> </w:t>
      </w:r>
      <w:r>
        <w:t xml:space="preserve">Under California Business &amp; Professions Code § 6501(f), a trustee who serves only for a friend or family member, and serves for no more than two unrelated families or estates, is outside the Act’s registration requirements. Katie, serving only for Jason and Gina, does not need to become a</w:t>
      </w:r>
      <w:r>
        <w:t xml:space="preserve"> </w:t>
      </w:r>
      <w:r>
        <w:t xml:space="preserve">“</w:t>
      </w:r>
      <w:r>
        <w:t xml:space="preserve">professional fiduciary.</w:t>
      </w:r>
      <w:r>
        <w:t xml:space="preserve">”</w:t>
      </w:r>
    </w:p>
    <w:p>
      <w:pPr>
        <w:pStyle w:val="BodyText"/>
      </w:pPr>
      <w:r>
        <w:rPr>
          <w:b/>
        </w:rPr>
        <w:t xml:space="preserve">Trade-off Katie accepts:</w:t>
      </w:r>
      <w:r>
        <w:t xml:space="preserve"> </w:t>
      </w:r>
      <w:r>
        <w:t xml:space="preserve">She takes record title in her own name. That means title insurance, deeds, and some lender correspondence carry her name. The Trust indemnifies her (Section 4.7) against every claim that is not her own gross negligence, willful misconduct, or fraud. She is also expressly limited to acting only on written directives from Jason and Gina (Article 6), so there is no ambiguity about who decides what.</w:t>
      </w:r>
    </w:p>
    <w:p>
      <w:r>
        <w:pict>
          <v:rect style="width:0;height:1.5pt" o:hralign="center" o:hrstd="t" o:hr="t"/>
        </w:pict>
      </w:r>
    </w:p>
    <w:p>
      <w:pPr>
        <w:pStyle w:val="Heading2"/>
      </w:pPr>
      <w:bookmarkStart w:id="24" w:name="the-privacy-logic"/>
      <w:r>
        <w:t xml:space="preserve">THE PRIVACY LOGIC</w:t>
      </w:r>
      <w:bookmarkEnd w:id="24"/>
    </w:p>
    <w:p>
      <w:pPr>
        <w:pStyle w:val="FirstParagraph"/>
      </w:pPr>
      <w:r>
        <w:t xml:space="preserve">Most of what people find about a homeowner starts with a</w:t>
      </w:r>
      <w:r>
        <w:t xml:space="preserve"> </w:t>
      </w:r>
      <w:r>
        <w:rPr>
          <w:b/>
        </w:rPr>
        <w:t xml:space="preserve">public record of the deed</w:t>
      </w:r>
      <w:r>
        <w:t xml:space="preserve">. Once the deed is in the database, Zillow, Redfin, ATTOM, CoreLogic, BeenVerified, Spokeo, reverse-look-up services, skip-tracing services, political-donation matchers, and eventually marketing lists all attach themselves to that record.</w:t>
      </w:r>
    </w:p>
    <w:p>
      <w:pPr>
        <w:pStyle w:val="BodyText"/>
      </w:pPr>
      <w:r>
        <w:t xml:space="preserve">When the deed names</w:t>
      </w:r>
      <w:r>
        <w:t xml:space="preserve"> </w:t>
      </w:r>
      <w:r>
        <w:rPr>
          <w:b/>
        </w:rPr>
        <w:t xml:space="preserve">“</w:t>
      </w:r>
      <w:r>
        <w:rPr>
          <w:b/>
        </w:rPr>
        <w:t xml:space="preserve">Katie Van Cleave, as Trustee of The AB Legacy Trust</w:t>
      </w:r>
      <w:r>
        <w:rPr>
          <w:b/>
        </w:rPr>
        <w:t xml:space="preserve">”</w:t>
      </w:r>
      <w:r>
        <w:t xml:space="preserve">, those databases capture Katie and the trust name. They do not capture Jason and Gina. The reverse-mapping from the property to the owner breaks.</w:t>
      </w:r>
    </w:p>
    <w:p>
      <w:pPr>
        <w:pStyle w:val="BodyText"/>
      </w:pPr>
      <w:r>
        <w:rPr>
          <w:b/>
        </w:rPr>
        <w:t xml:space="preserve">This is privacy, not anonymity.</w:t>
      </w:r>
      <w:r>
        <w:t xml:space="preserve"> </w:t>
      </w:r>
      <w:r>
        <w:t xml:space="preserve">A court can still compel disclosure with a subpoena. A plaintiff’s lawyer can still conduct pre-litigation discovery. A lender processing a loan can still require the beneficiary disclosure. FinCEN still receives the Corporate Transparency Act and Residential Real Estate Rule filings (both non-public). The IRS still has its levy powers.</w:t>
      </w:r>
    </w:p>
    <w:p>
      <w:pPr>
        <w:pStyle w:val="BodyText"/>
      </w:pPr>
      <w:r>
        <w:t xml:space="preserve">But the passive, automated, data-aggregator-driven look-ups — which constitute 95% of the ways people’s home addresses and identities get matched to them — go dark.</w:t>
      </w:r>
    </w:p>
    <w:p>
      <w:r>
        <w:pict>
          <v:rect style="width:0;height:1.5pt" o:hralign="center" o:hrstd="t" o:hr="t"/>
        </w:pict>
      </w:r>
    </w:p>
    <w:p>
      <w:pPr>
        <w:pStyle w:val="Heading2"/>
      </w:pPr>
      <w:bookmarkStart w:id="25" w:name="the-probate-avoidance-logic"/>
      <w:r>
        <w:t xml:space="preserve">THE PROBATE-AVOIDANCE LOGIC</w:t>
      </w:r>
      <w:bookmarkEnd w:id="25"/>
    </w:p>
    <w:p>
      <w:pPr>
        <w:pStyle w:val="FirstParagraph"/>
      </w:pPr>
      <w:r>
        <w:t xml:space="preserve">When either of you dies, the property passes under the Trust Agreement, not under your will and not through the California probate court. The Trust’s survivorship provision (Section 5.1) gives 100% of the beneficial interest to the survivor on the first death. On the second death, the interest passes to the successor Beneficiaries named in Article 14 — typically your existing revocable living trust (if you have one) or your lineal descendants per stirpes.</w:t>
      </w:r>
    </w:p>
    <w:p>
      <w:pPr>
        <w:pStyle w:val="BodyText"/>
      </w:pPr>
      <w:r>
        <w:rPr>
          <w:b/>
        </w:rPr>
        <w:t xml:space="preserve">No court hearing. No public filing of the will. No four-to-eight-month California probate timeline. No 4% statutory attorney fee on the first $100,000, etc.</w:t>
      </w:r>
    </w:p>
    <w:p>
      <w:pPr>
        <w:pStyle w:val="BodyText"/>
      </w:pPr>
      <w:r>
        <w:t xml:space="preserve">The trade is that the Trustee (Katie, then her successor) must actively administer the property during this transition. That is why we carefully named Katie, and why you should fill in First Successor and Second Successor on Section 8.2 before signing.</w:t>
      </w:r>
    </w:p>
    <w:p>
      <w:r>
        <w:pict>
          <v:rect style="width:0;height:1.5pt" o:hralign="center" o:hrstd="t" o:hr="t"/>
        </w:pict>
      </w:r>
    </w:p>
    <w:p>
      <w:pPr>
        <w:pStyle w:val="Heading2"/>
      </w:pPr>
      <w:bookmarkStart w:id="26" w:name="X5f6d9da73af718d4de9a09bd155d3972df0ecb1"/>
      <w:r>
        <w:t xml:space="preserve">THE ASSET-PROTECTION LOGIC — AND WHY YOU MAY WANT AN LLC LATER</w:t>
      </w:r>
      <w:bookmarkEnd w:id="26"/>
    </w:p>
    <w:p>
      <w:pPr>
        <w:pStyle w:val="FirstParagraph"/>
      </w:pPr>
      <w:r>
        <w:t xml:space="preserve">The Trust by itself slows a creditor down. It does not stop a determined one. A California judgment creditor can still find the beneficial interest by subpoenaing the Trustee and, upon proving the interest, levy upon it as personal property.</w:t>
      </w:r>
    </w:p>
    <w:p>
      <w:pPr>
        <w:pStyle w:val="BodyText"/>
      </w:pPr>
      <w:r>
        <w:rPr>
          <w:b/>
        </w:rPr>
        <w:t xml:space="preserve">To genuinely block creditors, the Beneficiary of the trust becomes a limited liability company.</w:t>
      </w:r>
      <w:r>
        <w:t xml:space="preserve"> </w:t>
      </w:r>
      <w:r>
        <w:t xml:space="preserve">This is the</w:t>
      </w:r>
      <w:r>
        <w:t xml:space="preserve"> </w:t>
      </w:r>
      <w:r>
        <w:t xml:space="preserve">“</w:t>
      </w:r>
      <w:r>
        <w:t xml:space="preserve">Anderson Business Advisors / Clint Coons</w:t>
      </w:r>
      <w:r>
        <w:t xml:space="preserve">”</w:t>
      </w:r>
      <w:r>
        <w:t xml:space="preserve"> </w:t>
      </w:r>
      <w:r>
        <w:t xml:space="preserve">model adapted for California:</w:t>
      </w:r>
    </w:p>
    <w:p>
      <w:pPr>
        <w:numPr>
          <w:ilvl w:val="0"/>
          <w:numId w:val="1004"/>
        </w:numPr>
        <w:pStyle w:val="Compact"/>
      </w:pPr>
      <w:r>
        <w:rPr>
          <w:b/>
        </w:rPr>
        <w:t xml:space="preserve">Layer 1 (public record):</w:t>
      </w:r>
      <w:r>
        <w:t xml:space="preserve"> </w:t>
      </w:r>
      <w:r>
        <w:t xml:space="preserve">Katie Van Cleave, as Trustee of The AB Legacy Trust</w:t>
      </w:r>
    </w:p>
    <w:p>
      <w:pPr>
        <w:numPr>
          <w:ilvl w:val="0"/>
          <w:numId w:val="1004"/>
        </w:numPr>
        <w:pStyle w:val="Compact"/>
      </w:pPr>
      <w:r>
        <w:rPr>
          <w:b/>
        </w:rPr>
        <w:t xml:space="preserve">Layer 2 (beneficiary of trust):</w:t>
      </w:r>
      <w:r>
        <w:t xml:space="preserve"> </w:t>
      </w:r>
      <w:r>
        <w:t xml:space="preserve">a California LLC with you as members, with a second member (typically your adult child, a family friend, or your living trust — never single-member, to avoid the</w:t>
      </w:r>
      <w:r>
        <w:t xml:space="preserve"> </w:t>
      </w:r>
      <w:r>
        <w:rPr>
          <w:i/>
        </w:rPr>
        <w:t xml:space="preserve">Olmstead</w:t>
      </w:r>
      <w:r>
        <w:t xml:space="preserve"> </w:t>
      </w:r>
      <w:r>
        <w:t xml:space="preserve">and</w:t>
      </w:r>
      <w:r>
        <w:t xml:space="preserve"> </w:t>
      </w:r>
      <w:r>
        <w:rPr>
          <w:i/>
        </w:rPr>
        <w:t xml:space="preserve">Curci</w:t>
      </w:r>
      <w:r>
        <w:t xml:space="preserve"> </w:t>
      </w:r>
      <w:r>
        <w:t xml:space="preserve">problems)</w:t>
      </w:r>
    </w:p>
    <w:p>
      <w:pPr>
        <w:numPr>
          <w:ilvl w:val="0"/>
          <w:numId w:val="1004"/>
        </w:numPr>
        <w:pStyle w:val="Compact"/>
      </w:pPr>
      <w:r>
        <w:rPr>
          <w:b/>
        </w:rPr>
        <w:t xml:space="preserve">Layer 3 (member of the California LLC):</w:t>
      </w:r>
      <w:r>
        <w:t xml:space="preserve"> </w:t>
      </w:r>
      <w:r>
        <w:t xml:space="preserve">a Wyoming holding LLC (anonymous under Wyo. Stat. § 17-29-211, charging-order exclusive under § 17-29-503)</w:t>
      </w:r>
    </w:p>
    <w:p>
      <w:pPr>
        <w:numPr>
          <w:ilvl w:val="0"/>
          <w:numId w:val="1004"/>
        </w:numPr>
        <w:pStyle w:val="Compact"/>
      </w:pPr>
      <w:r>
        <w:rPr>
          <w:b/>
        </w:rPr>
        <w:t xml:space="preserve">Layer 4 (member of the Wyoming LLC):</w:t>
      </w:r>
      <w:r>
        <w:t xml:space="preserve"> </w:t>
      </w:r>
      <w:r>
        <w:t xml:space="preserve">your existing revocable living trust</w:t>
      </w:r>
    </w:p>
    <w:p>
      <w:pPr>
        <w:numPr>
          <w:ilvl w:val="0"/>
          <w:numId w:val="1004"/>
        </w:numPr>
        <w:pStyle w:val="Compact"/>
      </w:pPr>
      <w:r>
        <w:rPr>
          <w:b/>
        </w:rPr>
        <w:t xml:space="preserve">Layer 5 (top):</w:t>
      </w:r>
      <w:r>
        <w:t xml:space="preserve"> </w:t>
      </w:r>
      <w:r>
        <w:t xml:space="preserve">optionally, an irrevocable wealth-transfer trust</w:t>
      </w:r>
    </w:p>
    <w:p>
      <w:pPr>
        <w:pStyle w:val="FirstParagraph"/>
      </w:pPr>
      <w:r>
        <w:rPr>
          <w:b/>
        </w:rPr>
        <w:t xml:space="preserve">You do not have to build all of this today.</w:t>
      </w:r>
      <w:r>
        <w:t xml:space="preserve"> </w:t>
      </w:r>
      <w:r>
        <w:t xml:space="preserve">Article 7 of the Trust Agreement allows you to assign your beneficial interest to an LLC at any point in the future, without recording a new deed and without disturbing Proposition 13 (because the assignment is personal property, not a conveyance of real property). We recommend starting with just the Trust, then adding the California LLC within six to twelve months once the Trust is fully funded and functioning.</w:t>
      </w:r>
    </w:p>
    <w:p>
      <w:r>
        <w:pict>
          <v:rect style="width:0;height:1.5pt" o:hralign="center" o:hrstd="t" o:hr="t"/>
        </w:pict>
      </w:r>
    </w:p>
    <w:p>
      <w:pPr>
        <w:pStyle w:val="Heading2"/>
      </w:pPr>
      <w:bookmarkStart w:id="27" w:name="X86439f2e501c2a13acb7b2fe161ac53289fc5ba"/>
      <w:r>
        <w:t xml:space="preserve">CALIFORNIA-SPECIFIC LAND MINES YOU MUST NOT STEP ON</w:t>
      </w:r>
      <w:bookmarkEnd w:id="27"/>
    </w:p>
    <w:p>
      <w:pPr>
        <w:pStyle w:val="FirstParagraph"/>
      </w:pPr>
      <w:r>
        <w:t xml:space="preserve">California is the strictest state in the country for real-property-tax analysis. Three land mines:</w:t>
      </w:r>
    </w:p>
    <w:p>
      <w:pPr>
        <w:pStyle w:val="Heading3"/>
      </w:pPr>
      <w:bookmarkStart w:id="28" w:name="X84bc40be7541c73c73c23296216d34417158886"/>
      <w:r>
        <w:t xml:space="preserve">1. Proposition 13 — Do Not Trigger Reassessment</w:t>
      </w:r>
      <w:bookmarkEnd w:id="28"/>
    </w:p>
    <w:p>
      <w:pPr>
        <w:pStyle w:val="FirstParagraph"/>
      </w:pPr>
      <w:r>
        <w:t xml:space="preserve">Your current property-tax bill is based on your</w:t>
      </w:r>
      <w:r>
        <w:t xml:space="preserve"> </w:t>
      </w:r>
      <w:r>
        <w:rPr>
          <w:b/>
        </w:rPr>
        <w:t xml:space="preserve">base-year value</w:t>
      </w:r>
      <w:r>
        <w:t xml:space="preserve"> </w:t>
      </w:r>
      <w:r>
        <w:t xml:space="preserve">under Proposition 13 (California Constitution, Article XIII A). Every year the tax can only go up by up to 2%, regardless of how much the property appreciates. If a</w:t>
      </w:r>
      <w:r>
        <w:t xml:space="preserve"> </w:t>
      </w:r>
      <w:r>
        <w:t xml:space="preserve">“</w:t>
      </w:r>
      <w:r>
        <w:t xml:space="preserve">change in ownership</w:t>
      </w:r>
      <w:r>
        <w:t xml:space="preserve">”</w:t>
      </w:r>
      <w:r>
        <w:t xml:space="preserve"> </w:t>
      </w:r>
      <w:r>
        <w:t xml:space="preserve">occurs, the county assessor reassesses to current fair market value, and your base resets, often doubling or tripling your property tax overnight.</w:t>
      </w:r>
    </w:p>
    <w:p>
      <w:pPr>
        <w:pStyle w:val="BodyText"/>
      </w:pPr>
      <w:r>
        <w:rPr>
          <w:b/>
        </w:rPr>
        <w:t xml:space="preserve">Putting the property into this Trust is NOT a change in ownership</w:t>
      </w:r>
      <w:r>
        <w:t xml:space="preserve">, because it qualifies for the revocable-grantor-trust exclusion under California Revenue &amp; Taxation Code § 62(d) and Rule 462.160. We built the Trust specifically to hit that exclusion (Section 11.1).</w:t>
      </w:r>
      <w:r>
        <w:t xml:space="preserve"> </w:t>
      </w:r>
      <w:r>
        <w:rPr>
          <w:b/>
        </w:rPr>
        <w:t xml:space="preserve">To keep the exclusion</w:t>
      </w:r>
      <w:r>
        <w:t xml:space="preserve">: do not make the Trust irrevocable during your joint lifetime, do not remove both of you as Beneficiaries, and file the Preliminary Change of Ownership Report (BOE-502-A) with each deed, claiming the § 62(d) exclusion.</w:t>
      </w:r>
    </w:p>
    <w:p>
      <w:pPr>
        <w:pStyle w:val="Heading3"/>
      </w:pPr>
      <w:bookmarkStart w:id="29" w:name="X751621943c36df00714fb6894426eac126b0132"/>
      <w:r>
        <w:t xml:space="preserve">2. Proposition 19 — Do Not Assume Children Inherit Tax Basis</w:t>
      </w:r>
      <w:bookmarkEnd w:id="29"/>
    </w:p>
    <w:p>
      <w:pPr>
        <w:pStyle w:val="FirstParagraph"/>
      </w:pPr>
      <w:r>
        <w:t xml:space="preserve">Proposition 19 (effective February 16, 2021; Cal. Rev. &amp; Tax. Code §§ 63.2, 69.6) dramatically narrowed the parent-child reassessment exclusion. Before Prop 19, any property transferred from parent to child kept its base-year value. After Prop 19,</w:t>
      </w:r>
      <w:r>
        <w:t xml:space="preserve"> </w:t>
      </w:r>
      <w:r>
        <w:rPr>
          <w:b/>
        </w:rPr>
        <w:t xml:space="preserve">only the principal residence</w:t>
      </w:r>
      <w:r>
        <w:t xml:space="preserve"> </w:t>
      </w:r>
      <w:r>
        <w:t xml:space="preserve">that becomes the child’s principal residence within one year qualifies — and even then the excluded amount is capped at your base plus $1,000,000 (indexed). Rental, vacation, and commercial properties transferred to children are reassessed to fair market value.</w:t>
      </w:r>
    </w:p>
    <w:p>
      <w:pPr>
        <w:pStyle w:val="BodyText"/>
      </w:pPr>
      <w:r>
        <w:t xml:space="preserve">This Trust cannot undo Prop 19. Do not assume your children will inherit your low property-tax base. If that is important to the plan, discuss with Shawn how to couple this Trust with lifetime gifts, QPRTs, or other mechanisms that address Prop 19 specifically.</w:t>
      </w:r>
    </w:p>
    <w:p>
      <w:pPr>
        <w:pStyle w:val="Heading3"/>
      </w:pPr>
      <w:bookmarkStart w:id="30" w:name="homestead-keep-it"/>
      <w:r>
        <w:t xml:space="preserve">3. Homestead — Keep It</w:t>
      </w:r>
      <w:bookmarkEnd w:id="30"/>
    </w:p>
    <w:p>
      <w:pPr>
        <w:pStyle w:val="FirstParagraph"/>
      </w:pPr>
      <w:r>
        <w:t xml:space="preserve">Your California homestead exemption under Cal. Code Civ. Proc. § 704.730 is, in Orange County, approximately $679,650 as of the current indexed cap (AB 1885, 2020). The Trust preserves this because (i) the property remains your principal residence, (ii) you retain a</w:t>
      </w:r>
      <w:r>
        <w:t xml:space="preserve"> </w:t>
      </w:r>
      <w:r>
        <w:t xml:space="preserve">“</w:t>
      </w:r>
      <w:r>
        <w:t xml:space="preserve">present possessory interest for life</w:t>
      </w:r>
      <w:r>
        <w:t xml:space="preserve">”</w:t>
      </w:r>
      <w:r>
        <w:t xml:space="preserve"> </w:t>
      </w:r>
      <w:r>
        <w:t xml:space="preserve">(Section 5.2(c)), and (iii) the Trust is a revocable grantor trust.</w:t>
      </w:r>
      <w:r>
        <w:t xml:space="preserve"> </w:t>
      </w:r>
      <w:r>
        <w:rPr>
          <w:b/>
        </w:rPr>
        <w:t xml:space="preserve">To keep it</w:t>
      </w:r>
      <w:r>
        <w:t xml:space="preserve">: continue to occupy the property as your home, continue filing the homeowner’s exemption BOE-266 each year, and, if you want belt-and-suspenders, record a Declared Homestead under Cal. Code Civ. Proc. § 704.920 in Katie’s name as Trustee.</w:t>
      </w:r>
    </w:p>
    <w:p>
      <w:r>
        <w:pict>
          <v:rect style="width:0;height:1.5pt" o:hralign="center" o:hrstd="t" o:hr="t"/>
        </w:pict>
      </w:r>
    </w:p>
    <w:p>
      <w:pPr>
        <w:pStyle w:val="Heading2"/>
      </w:pPr>
      <w:bookmarkStart w:id="31" w:name="what-you-need-to-do-at-execution"/>
      <w:r>
        <w:t xml:space="preserve">WHAT YOU NEED TO DO AT EXECUTION</w:t>
      </w:r>
      <w:bookmarkEnd w:id="31"/>
    </w:p>
    <w:p>
      <w:pPr>
        <w:pStyle w:val="FirstParagraph"/>
      </w:pPr>
      <w:r>
        <w:t xml:space="preserve">(A separate document — the Execution Checklist — walks through this step-by-step. Here is the overview.)</w:t>
      </w:r>
    </w:p>
    <w:p>
      <w:pPr>
        <w:numPr>
          <w:ilvl w:val="0"/>
          <w:numId w:val="1005"/>
        </w:numPr>
      </w:pPr>
      <w:r>
        <w:rPr>
          <w:b/>
        </w:rPr>
        <w:t xml:space="preserve">Sign the Trust Agreement</w:t>
      </w:r>
      <w:r>
        <w:t xml:space="preserve"> </w:t>
      </w:r>
      <w:r>
        <w:t xml:space="preserve">in the presence of a California notary public. Both Jason and Gina sign as Grantors/Beneficiaries. Katie signs as Trustee. All three acknowledgments are notarized on the same day (Article 17).</w:t>
      </w:r>
    </w:p>
    <w:p>
      <w:pPr>
        <w:numPr>
          <w:ilvl w:val="0"/>
          <w:numId w:val="1005"/>
        </w:numPr>
      </w:pPr>
      <w:r>
        <w:rPr>
          <w:b/>
        </w:rPr>
        <w:t xml:space="preserve">Fill in the blanks before signing</w:t>
      </w:r>
      <w:r>
        <w:t xml:space="preserve"> </w:t>
      </w:r>
      <w:r>
        <w:t xml:space="preserve">— Effective Date, Trustee’s address, Grantors’ address, successor Trustees (Section 8.2), property description (Schedule A), Shawn Olson’s Bar number and review date (Attorney Review page).</w:t>
      </w:r>
    </w:p>
    <w:p>
      <w:pPr>
        <w:numPr>
          <w:ilvl w:val="0"/>
          <w:numId w:val="1005"/>
        </w:numPr>
      </w:pPr>
      <w:r>
        <w:rPr>
          <w:b/>
        </w:rPr>
        <w:t xml:space="preserve">Execute a Grant Deed</w:t>
      </w:r>
      <w:r>
        <w:t xml:space="preserve"> </w:t>
      </w:r>
      <w:r>
        <w:t xml:space="preserve">(or Trust Transfer Deed) from Jason and Gina, as husband and wife,</w:t>
      </w:r>
      <w:r>
        <w:t xml:space="preserve"> </w:t>
      </w:r>
      <w:r>
        <w:rPr>
          <w:b/>
        </w:rPr>
        <w:t xml:space="preserve">to Katie Van Cleave, as Trustee of The AB Legacy Trust under Trust Agreement dated [Effective Date]</w:t>
      </w:r>
      <w:r>
        <w:t xml:space="preserve">. The deed is notarized and recorded at the County Recorder of the county where the property sits. The deed includes a documentary-transfer-tax exemption declaration citing</w:t>
      </w:r>
      <w:r>
        <w:t xml:space="preserve"> </w:t>
      </w:r>
      <w:r>
        <w:rPr>
          <w:b/>
        </w:rPr>
        <w:t xml:space="preserve">Cal. Rev. &amp; Tax. Code § 11930</w:t>
      </w:r>
      <w:r>
        <w:t xml:space="preserve"> </w:t>
      </w:r>
      <w:r>
        <w:t xml:space="preserve">(transfer to revocable trust).</w:t>
      </w:r>
    </w:p>
    <w:p>
      <w:pPr>
        <w:numPr>
          <w:ilvl w:val="0"/>
          <w:numId w:val="1005"/>
        </w:numPr>
      </w:pPr>
      <w:r>
        <w:rPr>
          <w:b/>
        </w:rPr>
        <w:t xml:space="preserve">File the Preliminary Change of Ownership Report (PCOR, Form BOE-502-A)</w:t>
      </w:r>
      <w:r>
        <w:t xml:space="preserve"> </w:t>
      </w:r>
      <w:r>
        <w:t xml:space="preserve">with the county assessor, claiming the</w:t>
      </w:r>
      <w:r>
        <w:t xml:space="preserve"> </w:t>
      </w:r>
      <w:r>
        <w:rPr>
          <w:b/>
        </w:rPr>
        <w:t xml:space="preserve">§ 62(d)</w:t>
      </w:r>
      <w:r>
        <w:t xml:space="preserve"> </w:t>
      </w:r>
      <w:r>
        <w:t xml:space="preserve">revocable-trust exclusion. Do this at recordation — most counties require it to be filed concurrently.</w:t>
      </w:r>
    </w:p>
    <w:p>
      <w:pPr>
        <w:numPr>
          <w:ilvl w:val="0"/>
          <w:numId w:val="1005"/>
        </w:numPr>
      </w:pPr>
      <w:r>
        <w:rPr>
          <w:b/>
        </w:rPr>
        <w:t xml:space="preserve">Send the lender (if any) a Garn-St. Germain package</w:t>
      </w:r>
      <w:r>
        <w:t xml:space="preserve"> </w:t>
      </w:r>
      <w:r>
        <w:t xml:space="preserve">— a copy of the recorded deed, a Certification of Trust under Cal. Prob. Code § 18100.5, a borrower affidavit of continuing-beneficiary and continuing-occupancy status, and a cover letter citing</w:t>
      </w:r>
      <w:r>
        <w:t xml:space="preserve"> </w:t>
      </w:r>
      <w:r>
        <w:rPr>
          <w:b/>
        </w:rPr>
        <w:t xml:space="preserve">12 U.S.C. § 1701j-3(d)(8)</w:t>
      </w:r>
      <w:r>
        <w:t xml:space="preserve"> </w:t>
      </w:r>
      <w:r>
        <w:t xml:space="preserve">and</w:t>
      </w:r>
      <w:r>
        <w:t xml:space="preserve"> </w:t>
      </w:r>
      <w:r>
        <w:rPr>
          <w:b/>
        </w:rPr>
        <w:t xml:space="preserve">12 C.F.R. § 191.5(b)(1)(vi)</w:t>
      </w:r>
      <w:r>
        <w:t xml:space="preserve">. Do not pay off the loan. Do not refinance. The lender is required to accept the transfer under federal law.</w:t>
      </w:r>
    </w:p>
    <w:p>
      <w:pPr>
        <w:numPr>
          <w:ilvl w:val="0"/>
          <w:numId w:val="1005"/>
        </w:numPr>
      </w:pPr>
      <w:r>
        <w:rPr>
          <w:b/>
        </w:rPr>
        <w:t xml:space="preserve">Update the title-insurance policy</w:t>
      </w:r>
      <w:r>
        <w:t xml:space="preserve"> </w:t>
      </w:r>
      <w:r>
        <w:t xml:space="preserve">(or request an ALTA 10-series Assignment Endorsement) to reflect Katie as Trustee.</w:t>
      </w:r>
    </w:p>
    <w:p>
      <w:pPr>
        <w:numPr>
          <w:ilvl w:val="0"/>
          <w:numId w:val="1005"/>
        </w:numPr>
      </w:pPr>
      <w:r>
        <w:rPr>
          <w:b/>
        </w:rPr>
        <w:t xml:space="preserve">Review and update the insurance policy</w:t>
      </w:r>
      <w:r>
        <w:t xml:space="preserve"> </w:t>
      </w:r>
      <w:r>
        <w:t xml:space="preserve">— homeowner’s or landlord’s policy named insured becomes</w:t>
      </w:r>
      <w:r>
        <w:t xml:space="preserve"> </w:t>
      </w:r>
      <w:r>
        <w:t xml:space="preserve">“</w:t>
      </w:r>
      <w:r>
        <w:t xml:space="preserve">Katie Van Cleave, as Trustee,</w:t>
      </w:r>
      <w:r>
        <w:t xml:space="preserve">”</w:t>
      </w:r>
      <w:r>
        <w:t xml:space="preserve"> </w:t>
      </w:r>
      <w:r>
        <w:t xml:space="preserve">with Jason and Gina as additional insureds. Umbrella scheduled the property.</w:t>
      </w:r>
    </w:p>
    <w:p>
      <w:pPr>
        <w:numPr>
          <w:ilvl w:val="0"/>
          <w:numId w:val="1005"/>
        </w:numPr>
      </w:pPr>
      <w:r>
        <w:rPr>
          <w:b/>
        </w:rPr>
        <w:t xml:space="preserve">Comply with the FinCEN Residential Real Estate Reporting Rule</w:t>
      </w:r>
      <w:r>
        <w:t xml:space="preserve"> </w:t>
      </w:r>
      <w:r>
        <w:t xml:space="preserve">if the transfer is non-financed (the title company/settlement agent handles the filing, but you need to respond to their questionnaire).</w:t>
      </w:r>
    </w:p>
    <w:p>
      <w:pPr>
        <w:numPr>
          <w:ilvl w:val="0"/>
          <w:numId w:val="1005"/>
        </w:numPr>
      </w:pPr>
      <w:r>
        <w:rPr>
          <w:b/>
        </w:rPr>
        <w:t xml:space="preserve">Keep the original signed Trust Agreement in a secure location</w:t>
      </w:r>
      <w:r>
        <w:t xml:space="preserve"> </w:t>
      </w:r>
      <w:r>
        <w:t xml:space="preserve">— fireproof safe, attorney’s vault, or bank safe deposit box. Give certified copies (not the original) to Katie, to Shawn, and to Vince.</w:t>
      </w:r>
    </w:p>
    <w:p>
      <w:r>
        <w:pict>
          <v:rect style="width:0;height:1.5pt" o:hralign="center" o:hrstd="t" o:hr="t"/>
        </w:pict>
      </w:r>
    </w:p>
    <w:p>
      <w:pPr>
        <w:pStyle w:val="Heading2"/>
      </w:pPr>
      <w:bookmarkStart w:id="32" w:name="recommended-next-steps-after-execution"/>
      <w:r>
        <w:t xml:space="preserve">RECOMMENDED NEXT STEPS (AFTER EXECUTION)</w:t>
      </w:r>
      <w:bookmarkEnd w:id="32"/>
    </w:p>
    <w:p>
      <w:pPr>
        <w:pStyle w:val="FirstParagraph"/>
      </w:pPr>
      <w:r>
        <w:t xml:space="preserve">These are not required, but they are what the strongest Vince-Shawn-Genesis clients do within the first year after funding:</w:t>
      </w:r>
    </w:p>
    <w:p>
      <w:pPr>
        <w:numPr>
          <w:ilvl w:val="0"/>
          <w:numId w:val="1006"/>
        </w:numPr>
        <w:pStyle w:val="Compact"/>
      </w:pPr>
      <w:r>
        <w:rPr>
          <w:b/>
        </w:rPr>
        <w:t xml:space="preserve">Coordinate with your Revocable Living Trust.</w:t>
      </w:r>
      <w:r>
        <w:t xml:space="preserve"> </w:t>
      </w:r>
      <w:r>
        <w:t xml:space="preserve">If you have an existing RLT, make your RLT the successor Beneficiary of this land trust at the second death (Article 14.5(b)). If you do not yet have an RLT, talk to Shawn about creating one — it is the probate-avoidance backbone for all of your other assets.</w:t>
      </w:r>
    </w:p>
    <w:p>
      <w:pPr>
        <w:numPr>
          <w:ilvl w:val="0"/>
          <w:numId w:val="1006"/>
        </w:numPr>
        <w:pStyle w:val="Compact"/>
      </w:pPr>
      <w:r>
        <w:rPr>
          <w:b/>
        </w:rPr>
        <w:t xml:space="preserve">Consider a California LLC as Beneficiary within 6–12 months.</w:t>
      </w:r>
      <w:r>
        <w:t xml:space="preserve"> </w:t>
      </w:r>
      <w:r>
        <w:t xml:space="preserve">Assign your beneficial interest to a two-member California LLC (Article 7, Exhibit A). The LLC gives you charging-order protection under Cal. Corp. Code § 17705.03. Do it only after a full solvency review under the California Uniform Voidable Transactions Act (Section 13.4).</w:t>
      </w:r>
    </w:p>
    <w:p>
      <w:pPr>
        <w:numPr>
          <w:ilvl w:val="0"/>
          <w:numId w:val="1006"/>
        </w:numPr>
        <w:pStyle w:val="Compact"/>
      </w:pPr>
      <w:r>
        <w:rPr>
          <w:b/>
        </w:rPr>
        <w:t xml:space="preserve">Upgrade the insurance stack.</w:t>
      </w:r>
      <w:r>
        <w:t xml:space="preserve"> </w:t>
      </w:r>
      <w:r>
        <w:t xml:space="preserve">Personal umbrella of at least $2M (preferably $5M+ for a property of your value), commercial landlord or short-term-rental policy on rentals, and scheduled all properties as underlying.</w:t>
      </w:r>
    </w:p>
    <w:p>
      <w:pPr>
        <w:numPr>
          <w:ilvl w:val="0"/>
          <w:numId w:val="1006"/>
        </w:numPr>
        <w:pStyle w:val="Compact"/>
      </w:pPr>
      <w:r>
        <w:rPr>
          <w:b/>
        </w:rPr>
        <w:t xml:space="preserve">Enroll in the Genesis real-estate portfolio dashboard</w:t>
      </w:r>
      <w:r>
        <w:t xml:space="preserve"> </w:t>
      </w:r>
      <w:r>
        <w:t xml:space="preserve">so Vince can continuously monitor your insurance renewals, property-tax bills, lender correspondence, homestead status, and FinCEN deadlines.</w:t>
      </w:r>
    </w:p>
    <w:p>
      <w:pPr>
        <w:numPr>
          <w:ilvl w:val="0"/>
          <w:numId w:val="1006"/>
        </w:numPr>
        <w:pStyle w:val="Compact"/>
      </w:pPr>
      <w:r>
        <w:rPr>
          <w:b/>
        </w:rPr>
        <w:t xml:space="preserve">Do not buy your next property in your own name.</w:t>
      </w:r>
      <w:r>
        <w:t xml:space="preserve"> </w:t>
      </w:r>
      <w:r>
        <w:t xml:space="preserve">If you add property, open a new land trust (e.g.,</w:t>
      </w:r>
      <w:r>
        <w:t xml:space="preserve"> </w:t>
      </w:r>
      <w:r>
        <w:t xml:space="preserve">“</w:t>
      </w:r>
      <w:r>
        <w:t xml:space="preserve">The AB Legacy Trust No. 2</w:t>
      </w:r>
      <w:r>
        <w:t xml:space="preserve">”</w:t>
      </w:r>
      <w:r>
        <w:t xml:space="preserve">) for that parcel, or direct the title company to deed it directly to Katie as Trustee of this Trust (and amend Schedule A).</w:t>
      </w:r>
    </w:p>
    <w:p>
      <w:r>
        <w:pict>
          <v:rect style="width:0;height:1.5pt" o:hralign="center" o:hrstd="t" o:hr="t"/>
        </w:pict>
      </w:r>
    </w:p>
    <w:p>
      <w:pPr>
        <w:pStyle w:val="Heading2"/>
      </w:pPr>
      <w:bookmarkStart w:id="33" w:name="what-katie-needs-to-know"/>
      <w:r>
        <w:t xml:space="preserve">WHAT KATIE NEEDS TO KNOW</w:t>
      </w:r>
      <w:bookmarkEnd w:id="33"/>
    </w:p>
    <w:p>
      <w:pPr>
        <w:pStyle w:val="FirstParagraph"/>
      </w:pPr>
      <w:r>
        <w:t xml:space="preserve">Katie, you accepted a real job. Most of it is quiet — you hold title, you keep a register, you forward mail and notices to Jason and Gina. Occasionally — for a sale, a refinance, a lease, a new deed — you sign documents that Jason and Gina direct you to sign.</w:t>
      </w:r>
    </w:p>
    <w:p>
      <w:pPr>
        <w:pStyle w:val="BodyText"/>
      </w:pPr>
      <w:r>
        <w:t xml:space="preserve">You are</w:t>
      </w:r>
      <w:r>
        <w:t xml:space="preserve"> </w:t>
      </w:r>
      <w:r>
        <w:rPr>
          <w:b/>
        </w:rPr>
        <w:t xml:space="preserve">not</w:t>
      </w:r>
      <w:r>
        <w:t xml:space="preserve"> </w:t>
      </w:r>
      <w:r>
        <w:t xml:space="preserve">expected to exercise judgment about whether the directive is a good idea. You are expected to (i) confirm the directive is in writing, (ii) confirm it is signed by whoever is required by Section 5.4, and (iii) act on it. The Trust indemnifies you for any loss that flows from a properly-executed directive. That protection is backed by Jason and Gina jointly and severally (Section 4.7).</w:t>
      </w:r>
    </w:p>
    <w:p>
      <w:pPr>
        <w:pStyle w:val="BodyText"/>
      </w:pPr>
      <w:r>
        <w:t xml:space="preserve">Things you should know:</w:t>
      </w:r>
      <w:r>
        <w:t xml:space="preserve"> </w:t>
      </w:r>
      <w:r>
        <w:t xml:space="preserve">-</w:t>
      </w:r>
      <w:r>
        <w:t xml:space="preserve"> </w:t>
      </w:r>
      <w:r>
        <w:rPr>
          <w:b/>
        </w:rPr>
        <w:t xml:space="preserve">You are not required to post a bond</w:t>
      </w:r>
      <w:r>
        <w:t xml:space="preserve"> </w:t>
      </w:r>
      <w:r>
        <w:t xml:space="preserve">(Section 8.4).</w:t>
      </w:r>
      <w:r>
        <w:t xml:space="preserve"> </w:t>
      </w:r>
      <w:r>
        <w:t xml:space="preserve">-</w:t>
      </w:r>
      <w:r>
        <w:t xml:space="preserve"> </w:t>
      </w:r>
      <w:r>
        <w:rPr>
          <w:b/>
        </w:rPr>
        <w:t xml:space="preserve">You can resign</w:t>
      </w:r>
      <w:r>
        <w:t xml:space="preserve"> </w:t>
      </w:r>
      <w:r>
        <w:t xml:space="preserve">on 60 days’ written notice (Section 8.1).</w:t>
      </w:r>
      <w:r>
        <w:t xml:space="preserve"> </w:t>
      </w:r>
      <w:r>
        <w:t xml:space="preserve">-</w:t>
      </w:r>
      <w:r>
        <w:t xml:space="preserve"> </w:t>
      </w:r>
      <w:r>
        <w:rPr>
          <w:b/>
        </w:rPr>
        <w:t xml:space="preserve">You will be named in lawsuits as the record owner</w:t>
      </w:r>
      <w:r>
        <w:t xml:space="preserve"> </w:t>
      </w:r>
      <w:r>
        <w:t xml:space="preserve">if the property is sued. The Trust indemnifies you. Forward legal papers to Jason, Gina, and Shawn immediately.</w:t>
      </w:r>
      <w:r>
        <w:t xml:space="preserve"> </w:t>
      </w:r>
      <w:r>
        <w:t xml:space="preserve">-</w:t>
      </w:r>
      <w:r>
        <w:t xml:space="preserve"> </w:t>
      </w:r>
      <w:r>
        <w:rPr>
          <w:b/>
        </w:rPr>
        <w:t xml:space="preserve">Do not commingle</w:t>
      </w:r>
      <w:r>
        <w:t xml:space="preserve"> </w:t>
      </w:r>
      <w:r>
        <w:t xml:space="preserve">any trust funds with your personal accounts. Open a trust checking account in the name</w:t>
      </w:r>
      <w:r>
        <w:t xml:space="preserve"> </w:t>
      </w:r>
      <w:r>
        <w:t xml:space="preserve">“</w:t>
      </w:r>
      <w:r>
        <w:t xml:space="preserve">Katie Van Cleave, as Trustee of The AB Legacy Trust</w:t>
      </w:r>
      <w:r>
        <w:t xml:space="preserve">”</w:t>
      </w:r>
      <w:r>
        <w:t xml:space="preserve"> </w:t>
      </w:r>
      <w:r>
        <w:t xml:space="preserve">if you will handle any money (rent, insurance proceeds, tax refunds). Obtain a separate EIN only if the Trust stops being a full grantor trust (e.g., after both Grantors die).</w:t>
      </w:r>
      <w:r>
        <w:t xml:space="preserve"> </w:t>
      </w:r>
      <w:r>
        <w:t xml:space="preserve">-</w:t>
      </w:r>
      <w:r>
        <w:t xml:space="preserve"> </w:t>
      </w:r>
      <w:r>
        <w:rPr>
          <w:b/>
        </w:rPr>
        <w:t xml:space="preserve">Federal tax liens go through you.</w:t>
      </w:r>
      <w:r>
        <w:t xml:space="preserve"> </w:t>
      </w:r>
      <w:r>
        <w:t xml:space="preserve">If you receive an IRS notice against Jason or Gina, you are legally required to respond. Forward to Jason, Gina, and Shawn the same day. Do not stall.</w:t>
      </w:r>
    </w:p>
    <w:p>
      <w:r>
        <w:pict>
          <v:rect style="width:0;height:1.5pt" o:hralign="center" o:hrstd="t" o:hr="t"/>
        </w:pict>
      </w:r>
    </w:p>
    <w:p>
      <w:pPr>
        <w:pStyle w:val="Heading2"/>
      </w:pPr>
      <w:bookmarkStart w:id="34" w:name="Xae2562cc998fe4ba4e39074a169be9547904fb5"/>
      <w:r>
        <w:t xml:space="preserve">A THEOLOGICAL FRAMING (FOR THE SPIRIT OF THE THING)</w:t>
      </w:r>
      <w:bookmarkEnd w:id="34"/>
    </w:p>
    <w:p>
      <w:pPr>
        <w:pStyle w:val="FirstParagraph"/>
      </w:pPr>
      <w:r>
        <w:rPr>
          <w:i/>
        </w:rPr>
        <w:t xml:space="preserve">“</w:t>
      </w:r>
      <w:r>
        <w:rPr>
          <w:i/>
        </w:rPr>
        <w:t xml:space="preserve">The earth is the Lord’s, and the fulness thereof.</w:t>
      </w:r>
      <w:r>
        <w:rPr>
          <w:i/>
        </w:rPr>
        <w:t xml:space="preserve">”</w:t>
      </w:r>
      <w:r>
        <w:t xml:space="preserve"> </w:t>
      </w:r>
      <w:r>
        <w:t xml:space="preserve">— Psalm 24:1.</w:t>
      </w:r>
      <w:r>
        <w:t xml:space="preserve"> </w:t>
      </w:r>
      <w:r>
        <w:rPr>
          <w:i/>
        </w:rPr>
        <w:t xml:space="preserve">“</w:t>
      </w:r>
      <w:r>
        <w:rPr>
          <w:i/>
        </w:rPr>
        <w:t xml:space="preserve">A good man leaveth an inheritance to his children’s children.</w:t>
      </w:r>
      <w:r>
        <w:rPr>
          <w:i/>
        </w:rPr>
        <w:t xml:space="preserve">”</w:t>
      </w:r>
      <w:r>
        <w:t xml:space="preserve"> </w:t>
      </w:r>
      <w:r>
        <w:t xml:space="preserve">— Proverbs 13:22.</w:t>
      </w:r>
    </w:p>
    <w:p>
      <w:pPr>
        <w:pStyle w:val="BodyText"/>
      </w:pPr>
      <w:r>
        <w:t xml:space="preserve">This Trust is stewardship architecture. It is not a device for concealing from what is owed, whether to the government, to a lawful creditor, or to the community. It is a device for preserving what has been entrusted to Jason and Gina so that it can be passed intact to the next generation. Privacy from the routine data-aggregator economy, yes. Protection from the frivolous contingency-fee plaintiff, yes. Efficient passage of real estate to children, yes. But all of these in the service of a longer time horizon — a generational time horizon in which the family’s roof, its rental income, its place in a community, remains recognizably the family’s, from one generation to the next.</w:t>
      </w:r>
    </w:p>
    <w:p>
      <w:pPr>
        <w:pStyle w:val="BodyText"/>
      </w:pPr>
      <w:r>
        <w:t xml:space="preserve">That is the spirit in which we drafted it. We recommend you sign it in that spirit.</w:t>
      </w:r>
    </w:p>
    <w:p>
      <w:r>
        <w:pict>
          <v:rect style="width:0;height:1.5pt" o:hralign="center" o:hrstd="t" o:hr="t"/>
        </w:pict>
      </w:r>
    </w:p>
    <w:p>
      <w:pPr>
        <w:pStyle w:val="Heading2"/>
      </w:pPr>
      <w:bookmarkStart w:id="35" w:name="contact"/>
      <w:r>
        <w:t xml:space="preserve">CONTACT</w:t>
      </w:r>
      <w:bookmarkEnd w:id="35"/>
    </w:p>
    <w:p>
      <w:pPr>
        <w:pStyle w:val="FirstParagraph"/>
      </w:pPr>
      <w:r>
        <w:rPr>
          <w:b/>
        </w:rPr>
        <w:t xml:space="preserve">Document Preparer:</w:t>
      </w:r>
      <w:r>
        <w:t xml:space="preserve"> </w:t>
      </w:r>
      <w:r>
        <w:t xml:space="preserve">Vince Caruso, Huntington Beach, California</w:t>
      </w:r>
      <w:r>
        <w:t xml:space="preserve"> </w:t>
      </w:r>
      <w:r>
        <w:rPr>
          <w:b/>
        </w:rPr>
        <w:t xml:space="preserve">Attorney of Record:</w:t>
      </w:r>
      <w:r>
        <w:t xml:space="preserve"> </w:t>
      </w:r>
      <w:r>
        <w:t xml:space="preserve">Shawn Olson, Esq., Huntington Beach, California (licensed to practice in California)</w:t>
      </w:r>
      <w:r>
        <w:t xml:space="preserve"> </w:t>
      </w:r>
      <w:r>
        <w:rPr>
          <w:b/>
        </w:rPr>
        <w:t xml:space="preserve">Research and Structural Drafting:</w:t>
      </w:r>
      <w:r>
        <w:t xml:space="preserve"> </w:t>
      </w:r>
      <w:r>
        <w:t xml:space="preserve">Genesis Wealth Sovereignty Research System</w:t>
      </w:r>
    </w:p>
    <w:p>
      <w:pPr>
        <w:pStyle w:val="BodyText"/>
      </w:pPr>
      <w:r>
        <w:t xml:space="preserve">This document is</w:t>
      </w:r>
      <w:r>
        <w:t xml:space="preserve"> </w:t>
      </w:r>
      <w:r>
        <w:rPr>
          <w:b/>
        </w:rPr>
        <w:t xml:space="preserve">educational information</w:t>
      </w:r>
      <w:r>
        <w:t xml:space="preserve">, not legal advice. Legal advice concerning your specific situation may be obtained only from Shawn Olson or another California-licensed attorney. No attorney-client relationship is formed by reading this document.</w:t>
      </w:r>
    </w:p>
    <w:p>
      <w:pPr>
        <w:pStyle w:val="BodyText"/>
      </w:pPr>
      <w:r>
        <w:rPr>
          <w:b/>
        </w:rPr>
        <w:t xml:space="preserve">END OF EXPLAINER.</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s="Source Sans 3" w:eastAsia="Source Sans 3"/>
        <w:b w:val="0"/>
        <w:i w:val="0"/>
        <w:color w:val="555B66"/>
        <w:sz w:val="18"/>
      </w:rPr>
      <w:t xml:space="preserve">Day 7 PBC — Confidential — For Vince Caruso    •    Page </w:t>
    </w:r>
    <w:r>
      <w:rPr>
        <w:rFonts w:ascii="Source Sans 3" w:hAnsi="Source Sans 3" w:cs="Source Sans 3" w:eastAsia="Source Sans 3"/>
        <w:b w:val="0"/>
        <w:i w:val="0"/>
        <w:color w:val="555B66"/>
        <w:sz w:val="18"/>
      </w:rPr>
      <w:fldChar w:fldCharType="begin"/>
      <w:instrText xml:space="preserve">PAGE</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Source Sans 3" w:hAnsi="Source Sans 3" w:cs="Source Sans 3" w:eastAsia="Source Sans 3"/>
      <w:b w:val="0"/>
      <w:i w:val="0"/>
      <w:color w:val="1A1A2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i w:val="0"/>
      <w:color w:val="0A1628"/>
      <w:sz w:val="48"/>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Calibri" w:hAnsi="Calibri" w:cs="Calibri" w:eastAsia="Calibri"/>
      <w:b/>
      <w:bCs/>
      <w:i w:val="0"/>
      <w:color w:val="0A1628"/>
      <w:sz w:val="36"/>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Calibri" w:hAnsi="Calibri" w:cs="Calibri" w:eastAsia="Calibri"/>
      <w:b/>
      <w:bCs/>
      <w:i w:val="0"/>
      <w:color w:val="D4A740"/>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Calibri" w:hAnsi="Calibri" w:cs="Calibri" w:eastAsia="Calibri"/>
      <w:b/>
      <w:bCs/>
      <w:i/>
      <w:iCs/>
      <w:color w:val="0A1628"/>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60" w:line="240" w:lineRule="auto"/>
      <w:contextualSpacing/>
    </w:pPr>
    <w:rPr>
      <w:rFonts w:asciiTheme="majorHAnsi" w:eastAsiaTheme="majorEastAsia" w:hAnsiTheme="majorHAnsi" w:cstheme="majorBidi" w:ascii="Calibri" w:hAnsi="Calibri" w:cs="Calibri" w:eastAsia="Calibri"/>
      <w:b/>
      <w:i w:val="0"/>
      <w:color w:val="0A1628"/>
      <w:spacing w:val="5"/>
      <w:kern w:val="28"/>
      <w:sz w:val="6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rFonts w:ascii="Source Sans 3" w:hAnsi="Source Sans 3" w:cs="Source Sans 3" w:eastAsia="Source Sans 3"/>
      <w:b/>
      <w:bCs/>
      <w:i w:val="0"/>
      <w:iCs/>
      <w:color w:val="D4A740"/>
      <w:sz w:val="22"/>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2026-05-01T05:28:59Z</dcterms:created>
  <dcterms:modified xsi:type="dcterms:W3CDTF">2026-05-01T05:28:59Z</dcterms:modified>
</cp:coreProperties>
</file>

<file path=docProps/custom.xml><?xml version="1.0" encoding="utf-8"?>
<Properties xmlns="http://schemas.openxmlformats.org/officeDocument/2006/custom-properties" xmlns:vt="http://schemas.openxmlformats.org/officeDocument/2006/docPropsVTypes"/>
</file>