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anderson-business-advisors-firm-analysis"/>
      <w:r>
        <w:t xml:space="preserve">ANDERSON BUSINESS ADVISORS — FIRM ANALYSIS</w:t>
      </w:r>
      <w:bookmarkEnd w:id="20"/>
    </w:p>
    <w:p>
      <w:pPr>
        <w:pStyle w:val="FirstParagraph"/>
      </w:pPr>
      <w:r>
        <w:rPr>
          <w:i/>
        </w:rPr>
        <w:t xml:space="preserve">Strand 57 companion to</w:t>
      </w:r>
      <w:r>
        <w:rPr>
          <w:i/>
        </w:rPr>
        <w:t xml:space="preserve"> </w:t>
      </w:r>
      <w:r>
        <w:rPr>
          <w:rStyle w:val="VerbatimChar"/>
          <w:i/>
        </w:rPr>
        <w:t xml:space="preserve">CLINT_COONS_PROFILE.md</w:t>
      </w:r>
      <w:r>
        <w:rPr>
          <w:i/>
        </w:rPr>
        <w:t xml:space="preserve">. The definitive Genesis view of Anderson as an operating business.</w:t>
      </w:r>
    </w:p>
    <w:p>
      <w:r>
        <w:pict>
          <v:rect style="width:0;height:1.5pt" o:hralign="center" o:hrstd="t" o:hr="t"/>
        </w:pict>
      </w:r>
    </w:p>
    <w:p>
      <w:pPr>
        <w:pStyle w:val="Heading2"/>
      </w:pPr>
      <w:bookmarkStart w:id="21" w:name="firm-overview-verified-facts-2026"/>
      <w:r>
        <w:t xml:space="preserve">1. FIRM OVERVIEW — VERIFIED FACTS (2026)</w:t>
      </w:r>
      <w:bookmarkEnd w:id="21"/>
    </w:p>
    <w:p>
      <w:pPr>
        <w:pStyle w:val="Heading3"/>
      </w:pPr>
      <w:bookmarkStart w:id="22" w:name="founding-and-core-facts"/>
      <w:r>
        <w:t xml:space="preserve">1.1 Founding and Core Facts</w:t>
      </w:r>
      <w:bookmarkEnd w:id="22"/>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Attribute</w:t>
            </w:r>
          </w:p>
        </w:tc>
        <w:tc>
          <w:tcPr>
            <w:tcBorders>
              <w:bottom w:val="single"/>
            </w:tcBorders>
            <w:vAlign w:val="bottom"/>
          </w:tcPr>
          <w:p>
            <w:pPr>
              <w:pStyle w:val="Compact"/>
              <w:jc w:val="left"/>
            </w:pPr>
            <w:r>
              <w:t xml:space="preserve">Value</w:t>
            </w:r>
          </w:p>
        </w:tc>
        <w:tc>
          <w:tcPr>
            <w:tcBorders>
              <w:bottom w:val="single"/>
            </w:tcBorders>
            <w:vAlign w:val="bottom"/>
          </w:tcPr>
          <w:p>
            <w:pPr>
              <w:pStyle w:val="Compact"/>
              <w:jc w:val="left"/>
            </w:pPr>
            <w:r>
              <w:t xml:space="preserve">Primary Source</w:t>
            </w:r>
          </w:p>
        </w:tc>
      </w:tr>
      <w:tr>
        <w:tc>
          <w:p>
            <w:pPr>
              <w:pStyle w:val="Compact"/>
              <w:jc w:val="left"/>
            </w:pPr>
            <w:r>
              <w:t xml:space="preserve">Founded</w:t>
            </w:r>
          </w:p>
        </w:tc>
        <w:tc>
          <w:p>
            <w:pPr>
              <w:pStyle w:val="Compact"/>
              <w:jc w:val="left"/>
            </w:pPr>
            <w:r>
              <w:rPr>
                <w:b/>
              </w:rPr>
              <w:t xml:space="preserve">1999</w:t>
            </w:r>
            <w:r>
              <w:t xml:space="preserve"> </w:t>
            </w:r>
            <w:r>
              <w:t xml:space="preserve">(NOT 2002 — correction from Strand 57 prompt)</w:t>
            </w:r>
          </w:p>
        </w:tc>
        <w:tc>
          <w:p>
            <w:pPr>
              <w:pStyle w:val="Compact"/>
              <w:jc w:val="left"/>
            </w:pPr>
            <w:r>
              <w:t xml:space="preserve">LinkedIn company page; CBInsights company profile; Clint’s LinkedIn work history</w:t>
            </w:r>
            <w:r>
              <w:t xml:space="preserve"> </w:t>
            </w:r>
            <w:r>
              <w:t xml:space="preserve">“</w:t>
            </w:r>
            <w:r>
              <w:t xml:space="preserve">Mar 1999 - Present</w:t>
            </w:r>
            <w:r>
              <w:t xml:space="preserve">”</w:t>
            </w:r>
          </w:p>
        </w:tc>
      </w:tr>
      <w:tr>
        <w:tc>
          <w:p>
            <w:pPr>
              <w:pStyle w:val="Compact"/>
              <w:jc w:val="left"/>
            </w:pPr>
            <w:r>
              <w:t xml:space="preserve">Founders</w:t>
            </w:r>
          </w:p>
        </w:tc>
        <w:tc>
          <w:p>
            <w:pPr>
              <w:pStyle w:val="Compact"/>
              <w:jc w:val="left"/>
            </w:pPr>
            <w:r>
              <w:t xml:space="preserve">Clint Coons, Esq. and Toby Mathis, Esq.</w:t>
            </w:r>
          </w:p>
        </w:tc>
        <w:tc>
          <w:p>
            <w:pPr>
              <w:pStyle w:val="Compact"/>
              <w:jc w:val="left"/>
            </w:pPr>
            <w:r>
              <w:t xml:space="preserve">Multiple Forbes Council bios</w:t>
            </w:r>
          </w:p>
        </w:tc>
      </w:tr>
      <w:tr>
        <w:tc>
          <w:p>
            <w:pPr>
              <w:pStyle w:val="Compact"/>
              <w:jc w:val="left"/>
            </w:pPr>
            <w:r>
              <w:t xml:space="preserve">Legal Form</w:t>
            </w:r>
          </w:p>
        </w:tc>
        <w:tc>
          <w:p>
            <w:pPr>
              <w:pStyle w:val="Compact"/>
              <w:jc w:val="left"/>
            </w:pPr>
            <w:r>
              <w:t xml:space="preserve">Multi-entity group operating as</w:t>
            </w:r>
            <w:r>
              <w:t xml:space="preserve"> </w:t>
            </w:r>
            <w:r>
              <w:t xml:space="preserve">“</w:t>
            </w:r>
            <w:r>
              <w:t xml:space="preserve">Anderson Global Group of Companies</w:t>
            </w:r>
            <w:r>
              <w:t xml:space="preserve">”</w:t>
            </w:r>
          </w:p>
        </w:tc>
        <w:tc>
          <w:p>
            <w:pPr>
              <w:pStyle w:val="Compact"/>
              <w:jc w:val="left"/>
            </w:pPr>
            <w:r>
              <w:rPr>
                <w:rStyle w:val="VerbatimChar"/>
              </w:rPr>
              <w:t xml:space="preserve">andersonadvisors.com/</w:t>
            </w:r>
            <w:r>
              <w:t xml:space="preserve"> </w:t>
            </w:r>
            <w:r>
              <w:t xml:space="preserve">footer</w:t>
            </w:r>
          </w:p>
        </w:tc>
      </w:tr>
      <w:tr>
        <w:tc>
          <w:p>
            <w:pPr>
              <w:pStyle w:val="Compact"/>
              <w:jc w:val="left"/>
            </w:pPr>
            <w:r>
              <w:t xml:space="preserve">Parent Brand</w:t>
            </w:r>
          </w:p>
        </w:tc>
        <w:tc>
          <w:p>
            <w:pPr>
              <w:pStyle w:val="Compact"/>
              <w:jc w:val="left"/>
            </w:pPr>
            <w:r>
              <w:t xml:space="preserve">Anderson Business Advisors, LLC</w:t>
            </w:r>
          </w:p>
        </w:tc>
        <w:tc>
          <w:p>
            <w:pPr>
              <w:pStyle w:val="Compact"/>
              <w:jc w:val="left"/>
            </w:pPr>
            <w:r>
              <w:t xml:space="preserve">Nevada entity registration</w:t>
            </w:r>
          </w:p>
        </w:tc>
      </w:tr>
      <w:tr>
        <w:tc>
          <w:p>
            <w:pPr>
              <w:pStyle w:val="Compact"/>
              <w:jc w:val="left"/>
            </w:pPr>
            <w:r>
              <w:t xml:space="preserve">Tagline</w:t>
            </w:r>
          </w:p>
        </w:tc>
        <w:tc>
          <w:p>
            <w:pPr>
              <w:pStyle w:val="Compact"/>
              <w:jc w:val="left"/>
            </w:pPr>
            <w:r>
              <w:t xml:space="preserve">“</w:t>
            </w:r>
            <w:r>
              <w:t xml:space="preserve">Asset Protection and Tax Advisors</w:t>
            </w:r>
            <w:r>
              <w:t xml:space="preserve">”</w:t>
            </w:r>
          </w:p>
        </w:tc>
        <w:tc>
          <w:p>
            <w:pPr>
              <w:pStyle w:val="Compact"/>
              <w:jc w:val="left"/>
            </w:pPr>
            <w:r>
              <w:t xml:space="preserve">andersonadvisors.com main site</w:t>
            </w:r>
          </w:p>
        </w:tc>
      </w:tr>
      <w:tr>
        <w:tc>
          <w:p>
            <w:pPr>
              <w:pStyle w:val="Compact"/>
              <w:jc w:val="left"/>
            </w:pPr>
            <w:r>
              <w:t xml:space="preserve">Origin</w:t>
            </w:r>
          </w:p>
        </w:tc>
        <w:tc>
          <w:p>
            <w:pPr>
              <w:pStyle w:val="Compact"/>
              <w:jc w:val="left"/>
            </w:pPr>
            <w:r>
              <w:t xml:space="preserve">Started as a small estate-planning firm, pivoted to tax/asset-protection/real-estate-investor focus in early 2000s</w:t>
            </w:r>
          </w:p>
        </w:tc>
        <w:tc>
          <w:p>
            <w:pPr>
              <w:pStyle w:val="Compact"/>
              <w:jc w:val="left"/>
            </w:pPr>
            <w:r>
              <w:t xml:space="preserve">Toby’s Forbes bio</w:t>
            </w:r>
          </w:p>
        </w:tc>
      </w:tr>
    </w:tbl>
    <w:p>
      <w:pPr>
        <w:pStyle w:val="Heading3"/>
      </w:pPr>
      <w:bookmarkStart w:id="23" w:name="headcount-verified"/>
      <w:r>
        <w:t xml:space="preserve">1.2 Headcount (Verified)</w:t>
      </w:r>
      <w:bookmarkEnd w:id="23"/>
    </w:p>
    <w:p>
      <w:pPr>
        <w:pStyle w:val="FirstParagraph"/>
      </w:pPr>
      <w:r>
        <w:t xml:space="preserve">Multiple overlapping sources report different headcount numbers, each reflecting a different counting convention:</w:t>
      </w:r>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Source</w:t>
            </w:r>
          </w:p>
        </w:tc>
        <w:tc>
          <w:tcPr>
            <w:tcBorders>
              <w:bottom w:val="single"/>
            </w:tcBorders>
            <w:vAlign w:val="bottom"/>
          </w:tcPr>
          <w:p>
            <w:pPr>
              <w:pStyle w:val="Compact"/>
              <w:jc w:val="left"/>
            </w:pPr>
            <w:r>
              <w:t xml:space="preserve">Reported Number</w:t>
            </w:r>
          </w:p>
        </w:tc>
        <w:tc>
          <w:tcPr>
            <w:tcBorders>
              <w:bottom w:val="single"/>
            </w:tcBorders>
            <w:vAlign w:val="bottom"/>
          </w:tcPr>
          <w:p>
            <w:pPr>
              <w:pStyle w:val="Compact"/>
              <w:jc w:val="left"/>
            </w:pPr>
            <w:r>
              <w:t xml:space="preserve">What It’s Counting</w:t>
            </w:r>
          </w:p>
        </w:tc>
      </w:tr>
      <w:tr>
        <w:tc>
          <w:p>
            <w:pPr>
              <w:pStyle w:val="Compact"/>
              <w:jc w:val="left"/>
            </w:pPr>
            <w:r>
              <w:t xml:space="preserve">LinkedIn company page (</w:t>
            </w:r>
            <w:r>
              <w:rPr>
                <w:rStyle w:val="VerbatimChar"/>
              </w:rPr>
              <w:t xml:space="preserve">linkedin.com/company/anderson-advisors</w:t>
            </w:r>
            <w:r>
              <w:t xml:space="preserve">)</w:t>
            </w:r>
          </w:p>
        </w:tc>
        <w:tc>
          <w:p>
            <w:pPr>
              <w:pStyle w:val="Compact"/>
              <w:jc w:val="left"/>
            </w:pPr>
            <w:r>
              <w:rPr>
                <w:b/>
              </w:rPr>
              <w:t xml:space="preserve">246 employees (+16.6% YoY)</w:t>
            </w:r>
          </w:p>
        </w:tc>
        <w:tc>
          <w:p>
            <w:pPr>
              <w:pStyle w:val="Compact"/>
              <w:jc w:val="left"/>
            </w:pPr>
            <w:r>
              <w:t xml:space="preserve">W-2 employees per LinkedIn self-report</w:t>
            </w:r>
          </w:p>
        </w:tc>
      </w:tr>
      <w:tr>
        <w:tc>
          <w:p>
            <w:pPr>
              <w:pStyle w:val="Compact"/>
              <w:jc w:val="left"/>
            </w:pPr>
            <w:r>
              <w:t xml:space="preserve">Clint Coons’s own bio (</w:t>
            </w:r>
            <w:r>
              <w:rPr>
                <w:rStyle w:val="VerbatimChar"/>
              </w:rPr>
              <w:t xml:space="preserve">clintcoons.com/about/</w:t>
            </w:r>
            <w:r>
              <w:t xml:space="preserve">)</w:t>
            </w:r>
          </w:p>
        </w:tc>
        <w:tc>
          <w:p>
            <w:pPr>
              <w:pStyle w:val="Compact"/>
              <w:jc w:val="left"/>
            </w:pPr>
            <w:r>
              <w:t xml:space="preserve">“</w:t>
            </w:r>
            <w:r>
              <w:t xml:space="preserve">400-person powerhouse spanning four states</w:t>
            </w:r>
            <w:r>
              <w:t xml:space="preserve">”</w:t>
            </w:r>
          </w:p>
        </w:tc>
        <w:tc>
          <w:p>
            <w:pPr>
              <w:pStyle w:val="Compact"/>
              <w:jc w:val="left"/>
            </w:pPr>
            <w:r>
              <w:t xml:space="preserve">Employees + contractors + affiliated professionals</w:t>
            </w:r>
          </w:p>
        </w:tc>
      </w:tr>
      <w:tr>
        <w:tc>
          <w:p>
            <w:pPr>
              <w:pStyle w:val="Compact"/>
              <w:jc w:val="left"/>
            </w:pPr>
            <w:r>
              <w:t xml:space="preserve">Amazon author bio</w:t>
            </w:r>
          </w:p>
        </w:tc>
        <w:tc>
          <w:p>
            <w:pPr>
              <w:pStyle w:val="Compact"/>
              <w:jc w:val="left"/>
            </w:pPr>
            <w:r>
              <w:t xml:space="preserve">“</w:t>
            </w:r>
            <w:r>
              <w:t xml:space="preserve">over 400 employees</w:t>
            </w:r>
            <w:r>
              <w:t xml:space="preserve">”</w:t>
            </w:r>
          </w:p>
        </w:tc>
        <w:tc>
          <w:p>
            <w:pPr>
              <w:pStyle w:val="Compact"/>
              <w:jc w:val="left"/>
            </w:pPr>
            <w:r>
              <w:t xml:space="preserve">Same as above</w:t>
            </w:r>
          </w:p>
        </w:tc>
      </w:tr>
      <w:tr>
        <w:tc>
          <w:p>
            <w:pPr>
              <w:pStyle w:val="Compact"/>
              <w:jc w:val="left"/>
            </w:pPr>
            <w:r>
              <w:t xml:space="preserve">Forbes Finance Council (Toby’s bio, older)</w:t>
            </w:r>
          </w:p>
        </w:tc>
        <w:tc>
          <w:p>
            <w:pPr>
              <w:pStyle w:val="Compact"/>
              <w:jc w:val="left"/>
            </w:pPr>
            <w:r>
              <w:t xml:space="preserve">“</w:t>
            </w:r>
            <w:r>
              <w:t xml:space="preserve">attorneys and planners</w:t>
            </w:r>
            <w:r>
              <w:t xml:space="preserve">”</w:t>
            </w:r>
            <w:r>
              <w:t xml:space="preserve"> </w:t>
            </w:r>
            <w:r>
              <w:t xml:space="preserve">(no number)</w:t>
            </w:r>
          </w:p>
        </w:tc>
        <w:tc>
          <w:p>
            <w:pPr>
              <w:pStyle w:val="Compact"/>
              <w:jc w:val="left"/>
            </w:pPr>
            <w:r>
              <w:t xml:space="preserve">N/A</w:t>
            </w:r>
          </w:p>
        </w:tc>
      </w:tr>
    </w:tbl>
    <w:p>
      <w:pPr>
        <w:pStyle w:val="BodyText"/>
      </w:pPr>
      <w:r>
        <w:rPr>
          <w:b/>
        </w:rPr>
        <w:t xml:space="preserve">Genesis reconciliation:</w:t>
      </w:r>
      <w:r>
        <w:t xml:space="preserve"> </w:t>
      </w:r>
      <w:r>
        <w:t xml:space="preserve">the ~246 figure is the best estimate for W-2 employees of the parent Anderson entities. The 400 figure includes contractors, partner-firm affiliated attorneys in states where Anderson doesn’t have in-house counsel, remote paralegals, and the larger Anderson Global Group including InfinityInvesting.com and related brands. For sizing competitive analysis,</w:t>
      </w:r>
      <w:r>
        <w:t xml:space="preserve"> </w:t>
      </w:r>
      <w:r>
        <w:rPr>
          <w:b/>
        </w:rPr>
        <w:t xml:space="preserve">use 246 for employee count, 400 for total workforce, or note</w:t>
      </w:r>
      <w:r>
        <w:rPr>
          <w:b/>
        </w:rPr>
        <w:t xml:space="preserve"> </w:t>
      </w:r>
      <w:r>
        <w:rPr>
          <w:b/>
        </w:rPr>
        <w:t xml:space="preserve">“</w:t>
      </w:r>
      <w:r>
        <w:rPr>
          <w:b/>
        </w:rPr>
        <w:t xml:space="preserve">~250-400 depending on counting convention.</w:t>
      </w:r>
      <w:r>
        <w:rPr>
          <w:b/>
        </w:rPr>
        <w:t xml:space="preserve">”</w:t>
      </w:r>
    </w:p>
    <w:p>
      <w:pPr>
        <w:pStyle w:val="Heading3"/>
      </w:pPr>
      <w:bookmarkStart w:id="24" w:name="attorney-cpa-count"/>
      <w:r>
        <w:t xml:space="preserve">1.3 Attorney / CPA Count</w:t>
      </w:r>
      <w:bookmarkEnd w:id="24"/>
    </w:p>
    <w:p>
      <w:pPr>
        <w:pStyle w:val="FirstParagraph"/>
      </w:pPr>
      <w:r>
        <w:t xml:space="preserve">Anderson’s public-facing claim is</w:t>
      </w:r>
      <w:r>
        <w:t xml:space="preserve"> </w:t>
      </w:r>
      <w:r>
        <w:t xml:space="preserve">“</w:t>
      </w:r>
      <w:r>
        <w:t xml:space="preserve">attorneys, CPAs, bookkeepers, and business strategists</w:t>
      </w:r>
      <w:r>
        <w:t xml:space="preserve">”</w:t>
      </w:r>
      <w:r>
        <w:t xml:space="preserve"> </w:t>
      </w:r>
      <w:r>
        <w:t xml:space="preserve">— no precise count publicly disclosed. Inference from BBB reviews, BiggerPockets discussions, and the Titanium Implementation Workshop page is:</w:t>
      </w:r>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Professional Category</w:t>
            </w:r>
          </w:p>
        </w:tc>
        <w:tc>
          <w:tcPr>
            <w:tcBorders>
              <w:bottom w:val="single"/>
            </w:tcBorders>
            <w:vAlign w:val="bottom"/>
          </w:tcPr>
          <w:p>
            <w:pPr>
              <w:pStyle w:val="Compact"/>
              <w:jc w:val="left"/>
            </w:pPr>
            <w:r>
              <w:t xml:space="preserve">Estimated Count</w:t>
            </w:r>
          </w:p>
        </w:tc>
        <w:tc>
          <w:tcPr>
            <w:tcBorders>
              <w:bottom w:val="single"/>
            </w:tcBorders>
            <w:vAlign w:val="bottom"/>
          </w:tcPr>
          <w:p>
            <w:pPr>
              <w:pStyle w:val="Compact"/>
              <w:jc w:val="left"/>
            </w:pPr>
            <w:r>
              <w:t xml:space="preserve">Notes</w:t>
            </w:r>
          </w:p>
        </w:tc>
      </w:tr>
      <w:tr>
        <w:tc>
          <w:p>
            <w:pPr>
              <w:pStyle w:val="Compact"/>
              <w:jc w:val="left"/>
            </w:pPr>
            <w:r>
              <w:t xml:space="preserve">In-house attorneys</w:t>
            </w:r>
          </w:p>
        </w:tc>
        <w:tc>
          <w:p>
            <w:pPr>
              <w:pStyle w:val="Compact"/>
              <w:jc w:val="left"/>
            </w:pPr>
            <w:r>
              <w:t xml:space="preserve">20-30</w:t>
            </w:r>
          </w:p>
        </w:tc>
        <w:tc>
          <w:p>
            <w:pPr>
              <w:pStyle w:val="Compact"/>
              <w:jc w:val="left"/>
            </w:pPr>
            <w:r>
              <w:t xml:space="preserve">Spread across WA, NV, WY, UT licenses; partner attorneys in other states referred</w:t>
            </w:r>
          </w:p>
        </w:tc>
      </w:tr>
      <w:tr>
        <w:tc>
          <w:p>
            <w:pPr>
              <w:pStyle w:val="Compact"/>
              <w:jc w:val="left"/>
            </w:pPr>
            <w:r>
              <w:t xml:space="preserve">In-house CPAs</w:t>
            </w:r>
          </w:p>
        </w:tc>
        <w:tc>
          <w:p>
            <w:pPr>
              <w:pStyle w:val="Compact"/>
              <w:jc w:val="left"/>
            </w:pPr>
            <w:r>
              <w:t xml:space="preserve">15-25</w:t>
            </w:r>
          </w:p>
        </w:tc>
        <w:tc>
          <w:p>
            <w:pPr>
              <w:pStyle w:val="Compact"/>
              <w:jc w:val="left"/>
            </w:pPr>
            <w:r>
              <w:t xml:space="preserve">Tax prep and bookkeeping</w:t>
            </w:r>
          </w:p>
        </w:tc>
      </w:tr>
      <w:tr>
        <w:tc>
          <w:p>
            <w:pPr>
              <w:pStyle w:val="Compact"/>
              <w:jc w:val="left"/>
            </w:pPr>
            <w:r>
              <w:t xml:space="preserve">Paralegals and client service</w:t>
            </w:r>
          </w:p>
        </w:tc>
        <w:tc>
          <w:p>
            <w:pPr>
              <w:pStyle w:val="Compact"/>
              <w:jc w:val="left"/>
            </w:pPr>
            <w:r>
              <w:t xml:space="preserve">80-120</w:t>
            </w:r>
          </w:p>
        </w:tc>
        <w:tc>
          <w:p>
            <w:pPr>
              <w:pStyle w:val="Compact"/>
              <w:jc w:val="left"/>
            </w:pPr>
            <w:r>
              <w:t xml:space="preserve">The scale-enabling layer</w:t>
            </w:r>
          </w:p>
        </w:tc>
      </w:tr>
      <w:tr>
        <w:tc>
          <w:p>
            <w:pPr>
              <w:pStyle w:val="Compact"/>
              <w:jc w:val="left"/>
            </w:pPr>
            <w:r>
              <w:t xml:space="preserve">Content / education / workshop staff</w:t>
            </w:r>
          </w:p>
        </w:tc>
        <w:tc>
          <w:p>
            <w:pPr>
              <w:pStyle w:val="Compact"/>
              <w:jc w:val="left"/>
            </w:pPr>
            <w:r>
              <w:t xml:space="preserve">20-30</w:t>
            </w:r>
          </w:p>
        </w:tc>
        <w:tc>
          <w:p>
            <w:pPr>
              <w:pStyle w:val="Compact"/>
              <w:jc w:val="left"/>
            </w:pPr>
            <w:r>
              <w:t xml:space="preserve">YouTube production, Tax Tuesdays, webinars</w:t>
            </w:r>
          </w:p>
        </w:tc>
      </w:tr>
      <w:tr>
        <w:tc>
          <w:p>
            <w:pPr>
              <w:pStyle w:val="Compact"/>
              <w:jc w:val="left"/>
            </w:pPr>
            <w:r>
              <w:t xml:space="preserve">Sales / strategy-session team</w:t>
            </w:r>
          </w:p>
        </w:tc>
        <w:tc>
          <w:p>
            <w:pPr>
              <w:pStyle w:val="Compact"/>
              <w:jc w:val="left"/>
            </w:pPr>
            <w:r>
              <w:t xml:space="preserve">30-50</w:t>
            </w:r>
          </w:p>
        </w:tc>
        <w:tc>
          <w:p>
            <w:pPr>
              <w:pStyle w:val="Compact"/>
              <w:jc w:val="left"/>
            </w:pPr>
            <w:r>
              <w:t xml:space="preserve">Front-end funnel</w:t>
            </w:r>
          </w:p>
        </w:tc>
      </w:tr>
      <w:tr>
        <w:tc>
          <w:p>
            <w:pPr>
              <w:pStyle w:val="Compact"/>
              <w:jc w:val="left"/>
            </w:pPr>
            <w:r>
              <w:t xml:space="preserve">Bookkeeping operations</w:t>
            </w:r>
          </w:p>
        </w:tc>
        <w:tc>
          <w:p>
            <w:pPr>
              <w:pStyle w:val="Compact"/>
              <w:jc w:val="left"/>
            </w:pPr>
            <w:r>
              <w:t xml:space="preserve">30-50</w:t>
            </w:r>
          </w:p>
        </w:tc>
        <w:tc>
          <w:p>
            <w:pPr>
              <w:pStyle w:val="Compact"/>
              <w:jc w:val="left"/>
            </w:pPr>
            <w:r>
              <w:t xml:space="preserve">Scaled by Anderson Digital Bookkeeping product</w:t>
            </w:r>
          </w:p>
        </w:tc>
      </w:tr>
      <w:tr>
        <w:tc>
          <w:p>
            <w:pPr>
              <w:pStyle w:val="Compact"/>
              <w:jc w:val="left"/>
            </w:pPr>
            <w:r>
              <w:t xml:space="preserve">Executive / admin</w:t>
            </w:r>
          </w:p>
        </w:tc>
        <w:tc>
          <w:p>
            <w:pPr>
              <w:pStyle w:val="Compact"/>
              <w:jc w:val="left"/>
            </w:pPr>
            <w:r>
              <w:t xml:space="preserve">10-20</w:t>
            </w:r>
          </w:p>
        </w:tc>
        <w:tc>
          <w:p>
            <w:pPr>
              <w:pStyle w:val="Compact"/>
              <w:jc w:val="left"/>
            </w:pPr>
            <w:r>
              <w:t xml:space="preserve">Leadership and back-office</w:t>
            </w:r>
          </w:p>
        </w:tc>
      </w:tr>
    </w:tbl>
    <w:p>
      <w:pPr>
        <w:pStyle w:val="BodyText"/>
      </w:pPr>
      <w:r>
        <w:t xml:space="preserve">These are Genesis-inferred ranges; Anderson does not publish a formal org chart.</w:t>
      </w:r>
    </w:p>
    <w:p>
      <w:pPr>
        <w:pStyle w:val="Heading3"/>
      </w:pPr>
      <w:bookmarkStart w:id="25" w:name="client-count"/>
      <w:r>
        <w:t xml:space="preserve">1.4 Client Count</w:t>
      </w:r>
      <w:bookmarkEnd w:id="25"/>
    </w:p>
    <w:p>
      <w:pPr>
        <w:pStyle w:val="FirstParagraph"/>
      </w:pPr>
      <w:r>
        <w:rPr>
          <w:b/>
        </w:rPr>
        <w:t xml:space="preserve">Verified public claims:</w:t>
      </w:r>
      <w:r>
        <w:t xml:space="preserve"> </w:t>
      </w:r>
      <w:r>
        <w:t xml:space="preserve">- Clint’s</w:t>
      </w:r>
      <w:r>
        <w:t xml:space="preserve"> </w:t>
      </w:r>
      <w:r>
        <w:rPr>
          <w:rStyle w:val="VerbatimChar"/>
        </w:rPr>
        <w:t xml:space="preserve">clintcoons.com/about/</w:t>
      </w:r>
      <w:r>
        <w:t xml:space="preserve">:</w:t>
      </w:r>
      <w:r>
        <w:t xml:space="preserve"> </w:t>
      </w:r>
      <w:r>
        <w:t xml:space="preserve">“</w:t>
      </w:r>
      <w:r>
        <w:t xml:space="preserve">Clint has grown his legal and tax firm to over 400 employees by assisting real estate investors</w:t>
      </w:r>
      <w:r>
        <w:t xml:space="preserve">”</w:t>
      </w:r>
      <w:r>
        <w:t xml:space="preserve"> </w:t>
      </w:r>
      <w:r>
        <w:t xml:space="preserve">(employees, not clients)</w:t>
      </w:r>
      <w:r>
        <w:t xml:space="preserve"> </w:t>
      </w:r>
      <w:r>
        <w:t xml:space="preserve">- Forbes Finance Council (Toby’s bio):</w:t>
      </w:r>
      <w:r>
        <w:t xml:space="preserve"> </w:t>
      </w:r>
      <w:r>
        <w:t xml:space="preserve">“</w:t>
      </w:r>
      <w:r>
        <w:t xml:space="preserve">over 20,000 clients nationwide</w:t>
      </w:r>
      <w:r>
        <w:t xml:space="preserve">”</w:t>
      </w:r>
      <w:r>
        <w:t xml:space="preserve"> </w:t>
      </w:r>
      <w:r>
        <w:t xml:space="preserve">- Amazon author bio (Toby):</w:t>
      </w:r>
      <w:r>
        <w:t xml:space="preserve"> </w:t>
      </w:r>
      <w:r>
        <w:t xml:space="preserve">“</w:t>
      </w:r>
      <w:r>
        <w:t xml:space="preserve">tens of thousands of successful investors including preparing over 100,000 investor tax returns</w:t>
      </w:r>
      <w:r>
        <w:t xml:space="preserve">”</w:t>
      </w:r>
      <w:r>
        <w:t xml:space="preserve"> </w:t>
      </w:r>
      <w:r>
        <w:t xml:space="preserve">- Anderson Platinum page:</w:t>
      </w:r>
      <w:r>
        <w:t xml:space="preserve"> </w:t>
      </w:r>
      <w:r>
        <w:t xml:space="preserve">“</w:t>
      </w:r>
      <w:r>
        <w:t xml:space="preserve">180,000 previous attendees who have learned powerful strategies</w:t>
      </w:r>
      <w:r>
        <w:t xml:space="preserve">”</w:t>
      </w:r>
      <w:r>
        <w:t xml:space="preserve"> </w:t>
      </w:r>
      <w:r>
        <w:t xml:space="preserve">(attendees of free workshops — not paying clients)</w:t>
      </w:r>
      <w:r>
        <w:t xml:space="preserve"> </w:t>
      </w:r>
      <w:r>
        <w:t xml:space="preserve">- BiggerPockets discussions reference</w:t>
      </w:r>
      <w:r>
        <w:t xml:space="preserve"> </w:t>
      </w:r>
      <w:r>
        <w:t xml:space="preserve">“</w:t>
      </w:r>
      <w:r>
        <w:t xml:space="preserve">18,000+ Platinum members</w:t>
      </w:r>
      <w:r>
        <w:t xml:space="preserve">”</w:t>
      </w:r>
      <w:r>
        <w:t xml:space="preserve"> </w:t>
      </w:r>
      <w:r>
        <w:t xml:space="preserve">range (older figures)</w:t>
      </w:r>
    </w:p>
    <w:p>
      <w:pPr>
        <w:pStyle w:val="BodyText"/>
      </w:pPr>
      <w:r>
        <w:rPr>
          <w:b/>
        </w:rPr>
        <w:t xml:space="preserve">Genesis reconciliation:</w:t>
      </w:r>
      <w:r>
        <w:t xml:space="preserve"> </w:t>
      </w:r>
      <w:r>
        <w:t xml:space="preserve">- Active paying Platinum + Premier + Titanium + Business Essentials clients:</w:t>
      </w:r>
      <w:r>
        <w:t xml:space="preserve"> </w:t>
      </w:r>
      <w:r>
        <w:rPr>
          <w:b/>
        </w:rPr>
        <w:t xml:space="preserve">~18,000-22,000</w:t>
      </w:r>
      <w:r>
        <w:t xml:space="preserve"> </w:t>
      </w:r>
      <w:r>
        <w:t xml:space="preserve">(the range Anderson cites is</w:t>
      </w:r>
      <w:r>
        <w:t xml:space="preserve"> </w:t>
      </w:r>
      <w:r>
        <w:t xml:space="preserve">“</w:t>
      </w:r>
      <w:r>
        <w:t xml:space="preserve">over 20,000</w:t>
      </w:r>
      <w:r>
        <w:t xml:space="preserve">”</w:t>
      </w:r>
      <w:r>
        <w:t xml:space="preserve">)</w:t>
      </w:r>
      <w:r>
        <w:t xml:space="preserve"> </w:t>
      </w:r>
      <w:r>
        <w:t xml:space="preserve">- Cumulative tax returns prepared over firm history:</w:t>
      </w:r>
      <w:r>
        <w:t xml:space="preserve"> </w:t>
      </w:r>
      <w:r>
        <w:rPr>
          <w:b/>
        </w:rPr>
        <w:t xml:space="preserve">100,000+</w:t>
      </w:r>
      <w:r>
        <w:t xml:space="preserve"> </w:t>
      </w:r>
      <w:r>
        <w:t xml:space="preserve">- Cumulative free-workshop attendees and newsletter subscribers:</w:t>
      </w:r>
      <w:r>
        <w:t xml:space="preserve"> </w:t>
      </w:r>
      <w:r>
        <w:rPr>
          <w:b/>
        </w:rPr>
        <w:t xml:space="preserve">180,000+</w:t>
      </w:r>
      <w:r>
        <w:t xml:space="preserve"> </w:t>
      </w:r>
      <w:r>
        <w:t xml:space="preserve">- YouTube reach:</w:t>
      </w:r>
      <w:r>
        <w:t xml:space="preserve"> </w:t>
      </w:r>
      <w:r>
        <w:rPr>
          <w:b/>
        </w:rPr>
        <w:t xml:space="preserve">300,000+ subscribers, 21M+ cumulative views</w:t>
      </w:r>
      <w:r>
        <w:t xml:space="preserve"> </w:t>
      </w:r>
      <w:r>
        <w:t xml:space="preserve">(see</w:t>
      </w:r>
      <w:r>
        <w:t xml:space="preserve"> </w:t>
      </w:r>
      <w:r>
        <w:rPr>
          <w:rStyle w:val="VerbatimChar"/>
        </w:rPr>
        <w:t xml:space="preserve">CLINT_COONS_PROFILE.md</w:t>
      </w:r>
      <w:r>
        <w:t xml:space="preserve"> </w:t>
      </w:r>
      <w:r>
        <w:t xml:space="preserve">§4)</w:t>
      </w:r>
    </w:p>
    <w:p>
      <w:pPr>
        <w:pStyle w:val="Heading3"/>
      </w:pPr>
      <w:bookmarkStart w:id="26" w:name="location-infrastructure-verified"/>
      <w:r>
        <w:t xml:space="preserve">1.5 Location Infrastructure (Verified)</w:t>
      </w:r>
      <w:bookmarkEnd w:id="26"/>
    </w:p>
    <w:p>
      <w:pPr>
        <w:pStyle w:val="FirstParagraph"/>
      </w:pPr>
      <w:r>
        <w:t xml:space="preserve">Per</w:t>
      </w:r>
      <w:r>
        <w:t xml:space="preserve"> </w:t>
      </w:r>
      <w:r>
        <w:rPr>
          <w:rStyle w:val="VerbatimChar"/>
        </w:rPr>
        <w:t xml:space="preserve">andersonadvisors.com/locations/</w:t>
      </w:r>
      <w:r>
        <w:t xml:space="preserve">:</w:t>
      </w:r>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Office</w:t>
            </w:r>
          </w:p>
        </w:tc>
        <w:tc>
          <w:tcPr>
            <w:tcBorders>
              <w:bottom w:val="single"/>
            </w:tcBorders>
            <w:vAlign w:val="bottom"/>
          </w:tcPr>
          <w:p>
            <w:pPr>
              <w:pStyle w:val="Compact"/>
              <w:jc w:val="left"/>
            </w:pPr>
            <w:r>
              <w:t xml:space="preserve">Address</w:t>
            </w:r>
          </w:p>
        </w:tc>
        <w:tc>
          <w:tcPr>
            <w:tcBorders>
              <w:bottom w:val="single"/>
            </w:tcBorders>
            <w:vAlign w:val="bottom"/>
          </w:tcPr>
          <w:p>
            <w:pPr>
              <w:pStyle w:val="Compact"/>
              <w:jc w:val="left"/>
            </w:pPr>
            <w:r>
              <w:t xml:space="preserve">Role</w:t>
            </w:r>
          </w:p>
        </w:tc>
      </w:tr>
      <w:tr>
        <w:tc>
          <w:p>
            <w:pPr>
              <w:pStyle w:val="Compact"/>
              <w:jc w:val="left"/>
            </w:pPr>
            <w:r>
              <w:rPr>
                <w:b/>
              </w:rPr>
              <w:t xml:space="preserve">Las Vegas HQ (McLeod)</w:t>
            </w:r>
          </w:p>
        </w:tc>
        <w:tc>
          <w:p>
            <w:pPr>
              <w:pStyle w:val="Compact"/>
              <w:jc w:val="left"/>
            </w:pPr>
            <w:r>
              <w:t xml:space="preserve">3225 McLeod Dr., Las Vegas NV 89121</w:t>
            </w:r>
          </w:p>
        </w:tc>
        <w:tc>
          <w:p>
            <w:pPr>
              <w:pStyle w:val="Compact"/>
              <w:jc w:val="left"/>
            </w:pPr>
            <w:r>
              <w:t xml:space="preserve">Headquarters and operations</w:t>
            </w:r>
          </w:p>
        </w:tc>
      </w:tr>
      <w:tr>
        <w:tc>
          <w:p>
            <w:pPr>
              <w:pStyle w:val="Compact"/>
              <w:jc w:val="left"/>
            </w:pPr>
            <w:r>
              <w:rPr>
                <w:b/>
              </w:rPr>
              <w:t xml:space="preserve">Las Vegas (Rainbow)</w:t>
            </w:r>
          </w:p>
        </w:tc>
        <w:tc>
          <w:p>
            <w:pPr>
              <w:pStyle w:val="Compact"/>
              <w:jc w:val="left"/>
            </w:pPr>
            <w:r>
              <w:t xml:space="preserve">500 N Rainbow, Suite 110, Las Vegas NV 89107</w:t>
            </w:r>
          </w:p>
        </w:tc>
        <w:tc>
          <w:p>
            <w:pPr>
              <w:pStyle w:val="Compact"/>
              <w:jc w:val="left"/>
            </w:pPr>
            <w:r>
              <w:t xml:space="preserve">Secondary LV office</w:t>
            </w:r>
          </w:p>
        </w:tc>
      </w:tr>
      <w:tr>
        <w:tc>
          <w:p>
            <w:pPr>
              <w:pStyle w:val="Compact"/>
              <w:jc w:val="left"/>
            </w:pPr>
            <w:r>
              <w:rPr>
                <w:b/>
              </w:rPr>
              <w:t xml:space="preserve">Las Vegas (Summerlin)</w:t>
            </w:r>
          </w:p>
        </w:tc>
        <w:tc>
          <w:p>
            <w:pPr>
              <w:pStyle w:val="Compact"/>
              <w:jc w:val="left"/>
            </w:pPr>
            <w:r>
              <w:t xml:space="preserve">(Summerlin)</w:t>
            </w:r>
          </w:p>
        </w:tc>
        <w:tc>
          <w:p>
            <w:pPr>
              <w:pStyle w:val="Compact"/>
              <w:jc w:val="left"/>
            </w:pPr>
            <w:r>
              <w:t xml:space="preserve">Workshop and event venue</w:t>
            </w:r>
          </w:p>
        </w:tc>
      </w:tr>
      <w:tr>
        <w:tc>
          <w:p>
            <w:pPr>
              <w:pStyle w:val="Compact"/>
              <w:jc w:val="left"/>
            </w:pPr>
            <w:r>
              <w:rPr>
                <w:b/>
              </w:rPr>
              <w:t xml:space="preserve">Tacoma, WA</w:t>
            </w:r>
          </w:p>
        </w:tc>
        <w:tc>
          <w:p>
            <w:pPr>
              <w:pStyle w:val="Compact"/>
              <w:jc w:val="left"/>
            </w:pPr>
            <w:r>
              <w:t xml:space="preserve">732 Broadway, Suite #201, Tacoma WA 98402</w:t>
            </w:r>
          </w:p>
        </w:tc>
        <w:tc>
          <w:p>
            <w:pPr>
              <w:pStyle w:val="Compact"/>
              <w:jc w:val="left"/>
            </w:pPr>
            <w:r>
              <w:t xml:space="preserve">Clint’s home base; Washington attorney practice</w:t>
            </w:r>
          </w:p>
        </w:tc>
      </w:tr>
      <w:tr>
        <w:tc>
          <w:p>
            <w:pPr>
              <w:pStyle w:val="Compact"/>
              <w:jc w:val="left"/>
            </w:pPr>
            <w:r>
              <w:rPr>
                <w:b/>
              </w:rPr>
              <w:t xml:space="preserve">Wyoming (Cheyenne)</w:t>
            </w:r>
          </w:p>
        </w:tc>
        <w:tc>
          <w:p>
            <w:pPr>
              <w:pStyle w:val="Compact"/>
              <w:jc w:val="left"/>
            </w:pPr>
            <w:r>
              <w:t xml:space="preserve">1718 Capitol Avenue, Cheyenne WY 82001</w:t>
            </w:r>
          </w:p>
        </w:tc>
        <w:tc>
          <w:p>
            <w:pPr>
              <w:pStyle w:val="Compact"/>
              <w:jc w:val="left"/>
            </w:pPr>
            <w:r>
              <w:t xml:space="preserve">Wyoming entity registered agent and operations</w:t>
            </w:r>
          </w:p>
        </w:tc>
      </w:tr>
      <w:tr>
        <w:tc>
          <w:p>
            <w:pPr>
              <w:pStyle w:val="Compact"/>
              <w:jc w:val="left"/>
            </w:pPr>
            <w:r>
              <w:rPr>
                <w:b/>
              </w:rPr>
              <w:t xml:space="preserve">Utah (Draper)</w:t>
            </w:r>
          </w:p>
        </w:tc>
        <w:tc>
          <w:p>
            <w:pPr>
              <w:pStyle w:val="Compact"/>
              <w:jc w:val="left"/>
            </w:pPr>
            <w:r>
              <w:t xml:space="preserve">14034 South 145 East Suite 100, Draper UT 84020</w:t>
            </w:r>
          </w:p>
        </w:tc>
        <w:tc>
          <w:p>
            <w:pPr>
              <w:pStyle w:val="Compact"/>
              <w:jc w:val="left"/>
            </w:pPr>
            <w:r>
              <w:t xml:space="preserve">Utah attorney practice</w:t>
            </w:r>
          </w:p>
        </w:tc>
      </w:tr>
    </w:tbl>
    <w:p>
      <w:pPr>
        <w:pStyle w:val="BodyText"/>
      </w:pPr>
      <w:r>
        <w:t xml:space="preserve">Primary phone for all:</w:t>
      </w:r>
      <w:r>
        <w:t xml:space="preserve"> </w:t>
      </w:r>
      <w:r>
        <w:rPr>
          <w:b/>
        </w:rPr>
        <w:t xml:space="preserve">1-800-706-4741</w:t>
      </w:r>
      <w:r>
        <w:t xml:space="preserve">. Hours M-F 8:00 AM - 5:00 PM local. The five-office footprint reflects licensure geography — Clint in WA, Toby in NV, plus Wyoming (their signature jurisdiction) and Utah (secondary operational state).</w:t>
      </w:r>
    </w:p>
    <w:p>
      <w:r>
        <w:pict>
          <v:rect style="width:0;height:1.5pt" o:hralign="center" o:hrstd="t" o:hr="t"/>
        </w:pict>
      </w:r>
    </w:p>
    <w:p>
      <w:pPr>
        <w:pStyle w:val="Heading2"/>
      </w:pPr>
      <w:bookmarkStart w:id="27" w:name="pricing-verified-2026-schedule"/>
      <w:r>
        <w:t xml:space="preserve">2. PRICING — VERIFIED 2026 SCHEDULE</w:t>
      </w:r>
      <w:bookmarkEnd w:id="27"/>
    </w:p>
    <w:p>
      <w:pPr>
        <w:pStyle w:val="Heading3"/>
      </w:pPr>
      <w:bookmarkStart w:id="28" w:name="platinum-membership-the-core-product"/>
      <w:r>
        <w:t xml:space="preserve">2.1 Platinum Membership (the core product)</w:t>
      </w:r>
      <w:bookmarkEnd w:id="28"/>
    </w:p>
    <w:p>
      <w:pPr>
        <w:pStyle w:val="FirstParagraph"/>
      </w:pPr>
      <w:r>
        <w:rPr>
          <w:b/>
        </w:rPr>
        <w:t xml:space="preserve">Current pricing (verified at</w:t>
      </w:r>
      <w:r>
        <w:rPr>
          <w:b/>
        </w:rPr>
        <w:t xml:space="preserve"> </w:t>
      </w:r>
      <w:r>
        <w:rPr>
          <w:rStyle w:val="VerbatimChar"/>
          <w:b/>
        </w:rPr>
        <w:t xml:space="preserve">andersonadvisors.com/platinum-membership/</w:t>
      </w:r>
      <w:r>
        <w:rPr>
          <w:b/>
        </w:rPr>
        <w:t xml:space="preserve"> </w:t>
      </w:r>
      <w:r>
        <w:rPr>
          <w:b/>
        </w:rPr>
        <w:t xml:space="preserve">and</w:t>
      </w:r>
      <w:r>
        <w:rPr>
          <w:b/>
        </w:rPr>
        <w:t xml:space="preserve"> </w:t>
      </w:r>
      <w:r>
        <w:rPr>
          <w:rStyle w:val="VerbatimChar"/>
          <w:b/>
        </w:rPr>
        <w:t xml:space="preserve">funding.andersonadvisors.com/purchase/</w:t>
      </w:r>
      <w:r>
        <w:rPr>
          <w:b/>
        </w:rPr>
        <w:t xml:space="preserve">, 2026-04-30):</w:t>
      </w:r>
    </w:p>
    <w:tbl>
      <w:tblPr>
        <w:tblStyle w:val="Table"/>
        <w:tblW w:type="pct" w:w="0.0"/>
        <w:tblLook w:firstRow="1"/>
      </w:tblPr>
      <w:tblGrid/>
      <w:tr>
        <w:trPr>
          <w:cnfStyle w:firstRow="1"/>
        </w:trPr>
        <w:tc>
          <w:tcPr>
            <w:tcBorders>
              <w:bottom w:val="single"/>
            </w:tcBorders>
            <w:vAlign w:val="bottom"/>
          </w:tcPr>
          <w:p>
            <w:pPr>
              <w:pStyle w:val="Compact"/>
              <w:jc w:val="left"/>
            </w:pPr>
            <w:r>
              <w:t xml:space="preserve">Item</w:t>
            </w:r>
          </w:p>
        </w:tc>
        <w:tc>
          <w:tcPr>
            <w:tcBorders>
              <w:bottom w:val="single"/>
            </w:tcBorders>
            <w:vAlign w:val="bottom"/>
          </w:tcPr>
          <w:p>
            <w:pPr>
              <w:pStyle w:val="Compact"/>
              <w:jc w:val="left"/>
            </w:pPr>
            <w:r>
              <w:t xml:space="preserve">Price</w:t>
            </w:r>
          </w:p>
        </w:tc>
      </w:tr>
      <w:tr>
        <w:tc>
          <w:p>
            <w:pPr>
              <w:pStyle w:val="Compact"/>
              <w:jc w:val="left"/>
            </w:pPr>
            <w:r>
              <w:rPr>
                <w:b/>
              </w:rPr>
              <w:t xml:space="preserve">Enrollment</w:t>
            </w:r>
          </w:p>
        </w:tc>
        <w:tc>
          <w:p>
            <w:pPr>
              <w:pStyle w:val="Compact"/>
              <w:jc w:val="left"/>
            </w:pPr>
            <w:r>
              <w:rPr>
                <w:b/>
              </w:rPr>
              <w:t xml:space="preserve">$3,495</w:t>
            </w:r>
          </w:p>
        </w:tc>
      </w:tr>
      <w:tr>
        <w:tc>
          <w:p>
            <w:pPr>
              <w:pStyle w:val="Compact"/>
              <w:jc w:val="left"/>
            </w:pPr>
            <w:r>
              <w:rPr>
                <w:b/>
              </w:rPr>
              <w:t xml:space="preserve">Monthly recurring</w:t>
            </w:r>
          </w:p>
        </w:tc>
        <w:tc>
          <w:p>
            <w:pPr>
              <w:pStyle w:val="Compact"/>
              <w:jc w:val="left"/>
            </w:pPr>
            <w:r>
              <w:rPr>
                <w:b/>
              </w:rPr>
              <w:t xml:space="preserve">$75/month</w:t>
            </w:r>
          </w:p>
        </w:tc>
      </w:tr>
      <w:tr>
        <w:tc>
          <w:p>
            <w:pPr>
              <w:pStyle w:val="Compact"/>
              <w:jc w:val="left"/>
            </w:pPr>
            <w:r>
              <w:t xml:space="preserve">First-year total</w:t>
            </w:r>
          </w:p>
        </w:tc>
        <w:tc>
          <w:p>
            <w:pPr>
              <w:pStyle w:val="Compact"/>
              <w:jc w:val="left"/>
            </w:pPr>
            <w:r>
              <w:t xml:space="preserve">~$4,395 ($3,495 + 12 x $75)</w:t>
            </w:r>
          </w:p>
        </w:tc>
      </w:tr>
      <w:tr>
        <w:tc>
          <w:p>
            <w:pPr>
              <w:pStyle w:val="Compact"/>
              <w:jc w:val="left"/>
            </w:pPr>
            <w:r>
              <w:t xml:space="preserve">Ongoing annual (year 2+)</w:t>
            </w:r>
          </w:p>
        </w:tc>
        <w:tc>
          <w:p>
            <w:pPr>
              <w:pStyle w:val="Compact"/>
              <w:jc w:val="left"/>
            </w:pPr>
            <w:r>
              <w:t xml:space="preserve">$900/year</w:t>
            </w:r>
          </w:p>
        </w:tc>
      </w:tr>
      <w:tr>
        <w:tc>
          <w:p>
            <w:pPr>
              <w:pStyle w:val="Compact"/>
              <w:jc w:val="left"/>
            </w:pPr>
            <w:r>
              <w:t xml:space="preserve">Five-year total cost</w:t>
            </w:r>
          </w:p>
        </w:tc>
        <w:tc>
          <w:p>
            <w:pPr>
              <w:pStyle w:val="Compact"/>
              <w:jc w:val="left"/>
            </w:pPr>
            <w:r>
              <w:t xml:space="preserve">~$7,995</w:t>
            </w:r>
          </w:p>
        </w:tc>
      </w:tr>
    </w:tbl>
    <w:p>
      <w:pPr>
        <w:pStyle w:val="BodyText"/>
      </w:pPr>
      <w:r>
        <w:rPr>
          <w:b/>
        </w:rPr>
        <w:t xml:space="preserve">What’s included in Platinum (verified from Anderson’s own comparison tables and Anderson System page):</w:t>
      </w:r>
      <w:r>
        <w:t xml:space="preserve"> </w:t>
      </w:r>
      <w:r>
        <w:t xml:space="preserve">- Unlimited attorney strategy sessions (no hourly rates)</w:t>
      </w:r>
      <w:r>
        <w:t xml:space="preserve"> </w:t>
      </w:r>
      <w:r>
        <w:t xml:space="preserve">- Unlimited questions via Platinum online portal (responses M-F 9AM-3PM PT)</w:t>
      </w:r>
      <w:r>
        <w:t xml:space="preserve"> </w:t>
      </w:r>
      <w:r>
        <w:t xml:space="preserve">- 2-Year Tax Review</w:t>
      </w:r>
      <w:r>
        <w:t xml:space="preserve"> </w:t>
      </w:r>
      <w:r>
        <w:t xml:space="preserve">- Attorney document reviews (limited)</w:t>
      </w:r>
      <w:r>
        <w:t xml:space="preserve"> </w:t>
      </w:r>
      <w:r>
        <w:t xml:space="preserve">- Access to Monthly Tax Webinar</w:t>
      </w:r>
      <w:r>
        <w:t xml:space="preserve"> </w:t>
      </w:r>
      <w:r>
        <w:t xml:space="preserve">- Tax Q&amp;A Database</w:t>
      </w:r>
      <w:r>
        <w:t xml:space="preserve"> </w:t>
      </w:r>
      <w:r>
        <w:t xml:space="preserve">- Video Training Library</w:t>
      </w:r>
      <w:r>
        <w:t xml:space="preserve"> </w:t>
      </w:r>
      <w:r>
        <w:t xml:space="preserve">- 500+ Legal Forms Library</w:t>
      </w:r>
      <w:r>
        <w:t xml:space="preserve"> </w:t>
      </w:r>
      <w:r>
        <w:t xml:space="preserve">- E-newsletter</w:t>
      </w:r>
      <w:r>
        <w:t xml:space="preserve"> </w:t>
      </w:r>
      <w:r>
        <w:t xml:space="preserve">- Preferred pricing on premium workshops, events, and Anderson services</w:t>
      </w:r>
      <w:r>
        <w:t xml:space="preserve"> </w:t>
      </w:r>
      <w:r>
        <w:t xml:space="preserve">- Two complimentary quarterly workshop tickets (Las Vegas)</w:t>
      </w:r>
    </w:p>
    <w:p>
      <w:pPr>
        <w:pStyle w:val="BodyText"/>
      </w:pPr>
      <w:r>
        <w:rPr>
          <w:b/>
        </w:rPr>
        <w:t xml:space="preserve">What’s NOT included (explicitly):</w:t>
      </w:r>
      <w:r>
        <w:t xml:space="preserve"> </w:t>
      </w:r>
      <w:r>
        <w:t xml:space="preserve">- Tax preparation (separate packages — three tiers offered; price varies)</w:t>
      </w:r>
      <w:r>
        <w:t xml:space="preserve"> </w:t>
      </w:r>
      <w:r>
        <w:t xml:space="preserve">- Bookkeeping (Anderson Digital Bookkeeping $1,200 value tier)</w:t>
      </w:r>
      <w:r>
        <w:t xml:space="preserve"> </w:t>
      </w:r>
      <w:r>
        <w:t xml:space="preserve">- Entity formation (billed per entity — see below)</w:t>
      </w:r>
      <w:r>
        <w:t xml:space="preserve"> </w:t>
      </w:r>
      <w:r>
        <w:t xml:space="preserve">- Non-Platinum hourly rate:</w:t>
      </w:r>
      <w:r>
        <w:t xml:space="preserve"> </w:t>
      </w:r>
      <w:r>
        <w:rPr>
          <w:b/>
        </w:rPr>
        <w:t xml:space="preserve">$350/hour</w:t>
      </w:r>
      <w:r>
        <w:t xml:space="preserve"> </w:t>
      </w:r>
      <w:r>
        <w:t xml:space="preserve">(Anderson’s internal rate for non-members)</w:t>
      </w:r>
    </w:p>
    <w:p>
      <w:pPr>
        <w:pStyle w:val="Heading3"/>
      </w:pPr>
      <w:bookmarkStart w:id="29" w:name="X54222fed1667877f13ce71ab3ca7fbbc9083b53"/>
      <w:r>
        <w:t xml:space="preserve">2.2 Entity Formation Pricing (verified 2026 from BiggerPockets discussion threads citing Anderson’s own quote sheet, 2024-2025 timeframe)</w:t>
      </w:r>
      <w:bookmarkEnd w:id="29"/>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List Price</w:t>
            </w:r>
          </w:p>
        </w:tc>
        <w:tc>
          <w:tcPr>
            <w:tcBorders>
              <w:bottom w:val="single"/>
            </w:tcBorders>
            <w:vAlign w:val="bottom"/>
          </w:tcPr>
          <w:p>
            <w:pPr>
              <w:pStyle w:val="Compact"/>
              <w:jc w:val="left"/>
            </w:pPr>
            <w:r>
              <w:t xml:space="preserve">Common Discount</w:t>
            </w:r>
          </w:p>
        </w:tc>
      </w:tr>
      <w:tr>
        <w:tc>
          <w:p>
            <w:pPr>
              <w:pStyle w:val="Compact"/>
              <w:jc w:val="left"/>
            </w:pPr>
            <w:r>
              <w:t xml:space="preserve">Wyoming Holding LLC Formation</w:t>
            </w:r>
          </w:p>
        </w:tc>
        <w:tc>
          <w:p>
            <w:pPr>
              <w:pStyle w:val="Compact"/>
              <w:jc w:val="left"/>
            </w:pPr>
            <w:r>
              <w:t xml:space="preserve">$2,750</w:t>
            </w:r>
          </w:p>
        </w:tc>
        <w:tc>
          <w:p>
            <w:pPr>
              <w:pStyle w:val="Compact"/>
              <w:jc w:val="left"/>
            </w:pPr>
            <w:r>
              <w:t xml:space="preserve">Often discounted to $1,500 in Platinum workshops</w:t>
            </w:r>
          </w:p>
        </w:tc>
      </w:tr>
      <w:tr>
        <w:tc>
          <w:p>
            <w:pPr>
              <w:pStyle w:val="Compact"/>
              <w:jc w:val="left"/>
            </w:pPr>
            <w:r>
              <w:t xml:space="preserve">Company Assistance Program</w:t>
            </w:r>
          </w:p>
        </w:tc>
        <w:tc>
          <w:p>
            <w:pPr>
              <w:pStyle w:val="Compact"/>
              <w:jc w:val="left"/>
            </w:pPr>
            <w:r>
              <w:t xml:space="preserve">$2,500 + $795/yr</w:t>
            </w:r>
          </w:p>
        </w:tc>
        <w:tc>
          <w:p>
            <w:pPr>
              <w:pStyle w:val="Compact"/>
              <w:jc w:val="left"/>
            </w:pPr>
            <w:r>
              <w:t xml:space="preserve">Discounted to $1,800 + $795/yr</w:t>
            </w:r>
          </w:p>
        </w:tc>
      </w:tr>
      <w:tr>
        <w:tc>
          <w:p>
            <w:pPr>
              <w:pStyle w:val="Compact"/>
              <w:jc w:val="left"/>
            </w:pPr>
            <w:r>
              <w:t xml:space="preserve">Registered Agent</w:t>
            </w:r>
          </w:p>
        </w:tc>
        <w:tc>
          <w:p>
            <w:pPr>
              <w:pStyle w:val="Compact"/>
              <w:jc w:val="left"/>
            </w:pPr>
            <w:r>
              <w:t xml:space="preserve">$150/yr</w:t>
            </w:r>
          </w:p>
        </w:tc>
        <w:tc>
          <w:p>
            <w:pPr>
              <w:pStyle w:val="Compact"/>
              <w:jc w:val="left"/>
            </w:pPr>
            <w:r>
              <w:t xml:space="preserve">$135/yr discounted</w:t>
            </w:r>
          </w:p>
        </w:tc>
      </w:tr>
      <w:tr>
        <w:tc>
          <w:p>
            <w:pPr>
              <w:pStyle w:val="Compact"/>
              <w:jc w:val="left"/>
            </w:pPr>
            <w:r>
              <w:t xml:space="preserve">State Filing Fees</w:t>
            </w:r>
          </w:p>
        </w:tc>
        <w:tc>
          <w:p>
            <w:pPr>
              <w:pStyle w:val="Compact"/>
              <w:jc w:val="left"/>
            </w:pPr>
            <w:r>
              <w:t xml:space="preserve">~$102 (WY)</w:t>
            </w:r>
          </w:p>
        </w:tc>
        <w:tc>
          <w:p>
            <w:pPr>
              <w:pStyle w:val="Compact"/>
              <w:jc w:val="left"/>
            </w:pPr>
            <w:r>
              <w:t xml:space="preserve">Pass-through</w:t>
            </w:r>
          </w:p>
        </w:tc>
      </w:tr>
      <w:tr>
        <w:tc>
          <w:p>
            <w:pPr>
              <w:pStyle w:val="Compact"/>
              <w:jc w:val="left"/>
            </w:pPr>
            <w:r>
              <w:t xml:space="preserve">Out-of-state LLC Formation</w:t>
            </w:r>
          </w:p>
        </w:tc>
        <w:tc>
          <w:p>
            <w:pPr>
              <w:pStyle w:val="Compact"/>
              <w:jc w:val="left"/>
            </w:pPr>
            <w:r>
              <w:t xml:space="preserve">~$1,500-2,000 per entity</w:t>
            </w:r>
          </w:p>
        </w:tc>
        <w:tc>
          <w:p>
            <w:pPr>
              <w:pStyle w:val="Compact"/>
              <w:jc w:val="left"/>
            </w:pPr>
            <w:r>
              <w:t xml:space="preserve">Varies by state</w:t>
            </w:r>
          </w:p>
        </w:tc>
      </w:tr>
    </w:tbl>
    <w:p>
      <w:pPr>
        <w:pStyle w:val="Heading3"/>
      </w:pPr>
      <w:bookmarkStart w:id="30" w:name="titanium-membership-the-upper-tier"/>
      <w:r>
        <w:t xml:space="preserve">2.3 Titanium Membership (the upper tier)</w:t>
      </w:r>
      <w:bookmarkEnd w:id="30"/>
    </w:p>
    <w:p>
      <w:pPr>
        <w:pStyle w:val="FirstParagraph"/>
      </w:pPr>
      <w:r>
        <w:t xml:space="preserve">Per</w:t>
      </w:r>
      <w:r>
        <w:t xml:space="preserve"> </w:t>
      </w:r>
      <w:r>
        <w:rPr>
          <w:rStyle w:val="VerbatimChar"/>
        </w:rPr>
        <w:t xml:space="preserve">andersonadvisors.com/structure-implementation-workshop-offers/</w:t>
      </w:r>
      <w:r>
        <w:t xml:space="preserve">:</w:t>
      </w:r>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Attribute</w:t>
            </w:r>
          </w:p>
        </w:tc>
        <w:tc>
          <w:tcPr>
            <w:tcBorders>
              <w:bottom w:val="single"/>
            </w:tcBorders>
            <w:vAlign w:val="bottom"/>
          </w:tcPr>
          <w:p>
            <w:pPr>
              <w:pStyle w:val="Compact"/>
              <w:jc w:val="left"/>
            </w:pPr>
            <w:r>
              <w:t xml:space="preserve">Detail</w:t>
            </w:r>
          </w:p>
        </w:tc>
      </w:tr>
      <w:tr>
        <w:tc>
          <w:p>
            <w:pPr>
              <w:pStyle w:val="Compact"/>
              <w:jc w:val="left"/>
            </w:pPr>
            <w:r>
              <w:t xml:space="preserve">Stated value</w:t>
            </w:r>
          </w:p>
        </w:tc>
        <w:tc>
          <w:p>
            <w:pPr>
              <w:pStyle w:val="Compact"/>
              <w:jc w:val="left"/>
            </w:pPr>
            <w:r>
              <w:rPr>
                <w:b/>
              </w:rPr>
              <w:t xml:space="preserve">$18,000</w:t>
            </w:r>
          </w:p>
        </w:tc>
      </w:tr>
      <w:tr>
        <w:tc>
          <w:p>
            <w:pPr>
              <w:pStyle w:val="Compact"/>
              <w:jc w:val="left"/>
            </w:pPr>
            <w:r>
              <w:t xml:space="preserve">Sign-up price (reported on BiggerPockets 2024-2025)</w:t>
            </w:r>
          </w:p>
        </w:tc>
        <w:tc>
          <w:p>
            <w:pPr>
              <w:pStyle w:val="Compact"/>
              <w:jc w:val="left"/>
            </w:pPr>
            <w:r>
              <w:rPr>
                <w:b/>
              </w:rPr>
              <w:t xml:space="preserve">~$10,000 out of pocket, up to $30,000 for highest packages</w:t>
            </w:r>
          </w:p>
        </w:tc>
      </w:tr>
      <w:tr>
        <w:tc>
          <w:p>
            <w:pPr>
              <w:pStyle w:val="Compact"/>
              <w:jc w:val="left"/>
            </w:pPr>
            <w:r>
              <w:t xml:space="preserve">Includes</w:t>
            </w:r>
          </w:p>
        </w:tc>
        <w:tc>
          <w:p>
            <w:pPr>
              <w:pStyle w:val="Compact"/>
              <w:jc w:val="left"/>
            </w:pPr>
            <w:r>
              <w:t xml:space="preserve">Unlimited LLC formations; dedicated client account manager; attorney-drafted operating agreements per LLC; custom-drafted articles per LLC; name searches; entity binders</w:t>
            </w:r>
          </w:p>
        </w:tc>
      </w:tr>
      <w:tr>
        <w:tc>
          <w:p>
            <w:pPr>
              <w:pStyle w:val="Compact"/>
              <w:jc w:val="left"/>
            </w:pPr>
            <w:r>
              <w:t xml:space="preserve">Target segment</w:t>
            </w:r>
          </w:p>
        </w:tc>
        <w:tc>
          <w:p>
            <w:pPr>
              <w:pStyle w:val="Compact"/>
              <w:jc w:val="left"/>
            </w:pPr>
            <w:r>
              <w:t xml:space="preserve">“</w:t>
            </w:r>
            <w:r>
              <w:t xml:space="preserve">Real estate investors who plan to do multiple flips or own several rental properties</w:t>
            </w:r>
            <w:r>
              <w:t xml:space="preserve">”</w:t>
            </w:r>
            <w:r>
              <w:t xml:space="preserve"> </w:t>
            </w:r>
            <w:r>
              <w:t xml:space="preserve">— typically 5+ new entities per year</w:t>
            </w:r>
          </w:p>
        </w:tc>
      </w:tr>
      <w:tr>
        <w:tc>
          <w:p>
            <w:pPr>
              <w:pStyle w:val="Compact"/>
              <w:jc w:val="left"/>
            </w:pPr>
            <w:r>
              <w:t xml:space="preserve">Bundled with</w:t>
            </w:r>
          </w:p>
        </w:tc>
        <w:tc>
          <w:p>
            <w:pPr>
              <w:pStyle w:val="Compact"/>
              <w:jc w:val="left"/>
            </w:pPr>
            <w:r>
              <w:t xml:space="preserve">Business Essentials + Structure Implementation Workshop ticket</w:t>
            </w:r>
          </w:p>
        </w:tc>
      </w:tr>
    </w:tbl>
    <w:p>
      <w:pPr>
        <w:pStyle w:val="BodyText"/>
      </w:pPr>
      <w:r>
        <w:rPr>
          <w:b/>
        </w:rPr>
        <w:t xml:space="preserve">Honest note:</w:t>
      </w:r>
      <w:r>
        <w:t xml:space="preserve"> </w:t>
      </w:r>
      <w:r>
        <w:t xml:space="preserve">the</w:t>
      </w:r>
      <w:r>
        <w:t xml:space="preserve"> </w:t>
      </w:r>
      <w:r>
        <w:t xml:space="preserve">“</w:t>
      </w:r>
      <w:r>
        <w:t xml:space="preserve">$18,000 value</w:t>
      </w:r>
      <w:r>
        <w:t xml:space="preserve">”</w:t>
      </w:r>
      <w:r>
        <w:t xml:space="preserve"> </w:t>
      </w:r>
      <w:r>
        <w:t xml:space="preserve">is the Anderson-stated retail-equivalent; actual client out-of-pocket for Titanium typically runs $10,000-$15,000, with some clients reporting higher packages including tax and bookkeeping at $15,000-$30,000 (BiggerPockets Titanium discussion at</w:t>
      </w:r>
      <w:r>
        <w:t xml:space="preserve"> </w:t>
      </w:r>
      <w:r>
        <w:rPr>
          <w:rStyle w:val="VerbatimChar"/>
        </w:rPr>
        <w:t xml:space="preserve">biggerpockets.com/forums/926/topics/1114888-anderson-titanium-anyone</w:t>
      </w:r>
      <w:r>
        <w:t xml:space="preserve"> </w:t>
      </w:r>
      <w:r>
        <w:t xml:space="preserve">confirms</w:t>
      </w:r>
      <w:r>
        <w:t xml:space="preserve"> </w:t>
      </w:r>
      <w:r>
        <w:t xml:space="preserve">“</w:t>
      </w:r>
      <w:r>
        <w:t xml:space="preserve">$15k - $30k range up front</w:t>
      </w:r>
      <w:r>
        <w:t xml:space="preserve">”</w:t>
      </w:r>
      <w:r>
        <w:t xml:space="preserve">).</w:t>
      </w:r>
    </w:p>
    <w:p>
      <w:pPr>
        <w:pStyle w:val="Heading3"/>
      </w:pPr>
      <w:bookmarkStart w:id="31" w:name="tax-preparation-separate"/>
      <w:r>
        <w:t xml:space="preserve">2.4 Tax Preparation (separate)</w:t>
      </w:r>
      <w:bookmarkEnd w:id="31"/>
    </w:p>
    <w:p>
      <w:pPr>
        <w:pStyle w:val="FirstParagraph"/>
      </w:pPr>
      <w:r>
        <w:t xml:space="preserve">Anderson offers three unpublished tiers of tax prep packages. Typical client reports on BiggerPockets and ComplaintsBoard indicate:</w:t>
      </w:r>
    </w:p>
    <w:p>
      <w:pPr>
        <w:numPr>
          <w:ilvl w:val="0"/>
          <w:numId w:val="1001"/>
        </w:numPr>
        <w:pStyle w:val="Compact"/>
      </w:pPr>
      <w:r>
        <w:t xml:space="preserve">Basic individual + single LLC return: $1,500-2,500/year</w:t>
      </w:r>
    </w:p>
    <w:p>
      <w:pPr>
        <w:numPr>
          <w:ilvl w:val="0"/>
          <w:numId w:val="1001"/>
        </w:numPr>
        <w:pStyle w:val="Compact"/>
      </w:pPr>
      <w:r>
        <w:t xml:space="preserve">Real-estate investor with 3-8 entities: $3,000-8,000/year</w:t>
      </w:r>
    </w:p>
    <w:p>
      <w:pPr>
        <w:numPr>
          <w:ilvl w:val="0"/>
          <w:numId w:val="1001"/>
        </w:numPr>
        <w:pStyle w:val="Compact"/>
      </w:pPr>
      <w:r>
        <w:t xml:space="preserve">Complex investor with 10+ entities and cost-seg work: $8,000-15,000+/year</w:t>
      </w:r>
    </w:p>
    <w:p>
      <w:pPr>
        <w:pStyle w:val="FirstParagraph"/>
      </w:pPr>
      <w:r>
        <w:t xml:space="preserve">These are additional on top of Platinum membership.</w:t>
      </w:r>
    </w:p>
    <w:p>
      <w:pPr>
        <w:pStyle w:val="Heading3"/>
      </w:pPr>
      <w:bookmarkStart w:id="32" w:name="bookkeeping"/>
      <w:r>
        <w:t xml:space="preserve">2.5 Bookkeeping</w:t>
      </w:r>
      <w:bookmarkEnd w:id="32"/>
    </w:p>
    <w:p>
      <w:pPr>
        <w:pStyle w:val="FirstParagraph"/>
      </w:pPr>
      <w:r>
        <w:t xml:space="preserve">Anderson Digital Bookkeeping (per the Structure Implementation page):</w:t>
      </w:r>
      <w:r>
        <w:t xml:space="preserve"> </w:t>
      </w:r>
      <w:r>
        <w:rPr>
          <w:b/>
        </w:rPr>
        <w:t xml:space="preserve">$1,200 value</w:t>
      </w:r>
      <w:r>
        <w:t xml:space="preserve"> </w:t>
      </w:r>
      <w:r>
        <w:t xml:space="preserve">baseline; actual monthly bookkeeping pricing varies by transaction volume, typically $300-1,500/month for investors with multi-property portfolios. Recent partnership with</w:t>
      </w:r>
      <w:r>
        <w:t xml:space="preserve"> </w:t>
      </w:r>
      <w:r>
        <w:rPr>
          <w:b/>
        </w:rPr>
        <w:t xml:space="preserve">Baselane</w:t>
      </w:r>
      <w:r>
        <w:t xml:space="preserve"> </w:t>
      </w:r>
      <w:r>
        <w:t xml:space="preserve">(per CBInsights company profile) adds AI-powered transaction tagging, real-time cash flow insights, and banking integration — the clearest recent move Anderson has made toward tech differentiation.</w:t>
      </w:r>
    </w:p>
    <w:p>
      <w:pPr>
        <w:pStyle w:val="Heading3"/>
      </w:pPr>
      <w:bookmarkStart w:id="33" w:name="pricing-creep-verified-over-time"/>
      <w:r>
        <w:t xml:space="preserve">2.6 Pricing Creep (verified over time)</w:t>
      </w:r>
      <w:bookmarkEnd w:id="33"/>
    </w:p>
    <w:p>
      <w:pPr>
        <w:pStyle w:val="FirstParagraph"/>
      </w:pPr>
      <w:r>
        <w:t xml:space="preserve">BiggerPockets and ComplaintsBoard threads across 2020-2025 show Anderson’s Platinum enrollment has drifted from historical ~$2,500 + $35/month to current</w:t>
      </w:r>
      <w:r>
        <w:t xml:space="preserve"> </w:t>
      </w:r>
      <w:r>
        <w:rPr>
          <w:b/>
        </w:rPr>
        <w:t xml:space="preserve">$3,495 + $75/month</w:t>
      </w:r>
      <w:r>
        <w:t xml:space="preserve"> </w:t>
      </w:r>
      <w:r>
        <w:t xml:space="preserve">— roughly a 40% increase in enrollment and</w:t>
      </w:r>
      <w:r>
        <w:t xml:space="preserve"> </w:t>
      </w:r>
      <w:r>
        <w:rPr>
          <w:b/>
        </w:rPr>
        <w:t xml:space="preserve">114% increase in monthly recurring</w:t>
      </w:r>
      <w:r>
        <w:t xml:space="preserve"> </w:t>
      </w:r>
      <w:r>
        <w:t xml:space="preserve">over approximately five years.</w:t>
      </w:r>
    </w:p>
    <w:p>
      <w:pPr>
        <w:pStyle w:val="BodyText"/>
      </w:pPr>
      <w:r>
        <w:t xml:space="preserve">Is the creep justified? Mixed evidence:</w:t>
      </w:r>
      <w:r>
        <w:t xml:space="preserve"> </w:t>
      </w:r>
      <w:r>
        <w:t xml:space="preserve">-</w:t>
      </w:r>
      <w:r>
        <w:t xml:space="preserve"> </w:t>
      </w:r>
      <w:r>
        <w:rPr>
          <w:b/>
        </w:rPr>
        <w:t xml:space="preserve">Pro:</w:t>
      </w:r>
      <w:r>
        <w:t xml:space="preserve"> </w:t>
      </w:r>
      <w:r>
        <w:t xml:space="preserve">Platinum scope has expanded (more legal forms, more training content, portal upgrades, two workshop tickets now included).</w:t>
      </w:r>
      <w:r>
        <w:t xml:space="preserve"> </w:t>
      </w:r>
      <w:r>
        <w:t xml:space="preserve">-</w:t>
      </w:r>
      <w:r>
        <w:t xml:space="preserve"> </w:t>
      </w:r>
      <w:r>
        <w:rPr>
          <w:b/>
        </w:rPr>
        <w:t xml:space="preserve">Con:</w:t>
      </w:r>
      <w:r>
        <w:t xml:space="preserve"> </w:t>
      </w:r>
      <w:r>
        <w:t xml:space="preserve">Service quality complaints on BBB and ComplaintsBoard have increased in parallel, suggesting the firm is extracting pricing power on a stressed delivery chassis.</w:t>
      </w:r>
    </w:p>
    <w:p>
      <w:pPr>
        <w:pStyle w:val="BodyText"/>
      </w:pPr>
      <w:r>
        <w:t xml:space="preserve">Carter and Vince should read this as a market-segment signal: Anderson’s pricing power ceiling is being tested. A premium competitor that genuinely delivers (Genesis) has room at $5,000-15,000/year for a superior offering.</w:t>
      </w:r>
    </w:p>
    <w:p>
      <w:r>
        <w:pict>
          <v:rect style="width:0;height:1.5pt" o:hralign="center" o:hrstd="t" o:hr="t"/>
        </w:pict>
      </w:r>
    </w:p>
    <w:p>
      <w:pPr>
        <w:pStyle w:val="Heading2"/>
      </w:pPr>
      <w:bookmarkStart w:id="34" w:name="service-delivery-architecture"/>
      <w:r>
        <w:t xml:space="preserve">3. SERVICE DELIVERY ARCHITECTURE</w:t>
      </w:r>
      <w:bookmarkEnd w:id="34"/>
    </w:p>
    <w:p>
      <w:pPr>
        <w:pStyle w:val="Heading3"/>
      </w:pPr>
      <w:bookmarkStart w:id="35" w:name="X4404d710c23da6448bd02bb3081a508ea93f9bd"/>
      <w:r>
        <w:t xml:space="preserve">3.1 Vertical Integration — What Makes Anderson Different</w:t>
      </w:r>
      <w:bookmarkEnd w:id="35"/>
    </w:p>
    <w:p>
      <w:pPr>
        <w:pStyle w:val="FirstParagraph"/>
      </w:pPr>
      <w:r>
        <w:t xml:space="preserve">Anderson’s differentiator vs. smaller competitors is that</w:t>
      </w:r>
      <w:r>
        <w:t xml:space="preserve"> </w:t>
      </w:r>
      <w:r>
        <w:rPr>
          <w:b/>
        </w:rPr>
        <w:t xml:space="preserve">one firm handles nine things</w:t>
      </w:r>
      <w:r>
        <w:t xml:space="preserve"> </w:t>
      </w:r>
      <w:r>
        <w:t xml:space="preserve">that an investor would otherwise need to coordinate across six vendors:</w:t>
      </w:r>
    </w:p>
    <w:p>
      <w:pPr>
        <w:numPr>
          <w:ilvl w:val="0"/>
          <w:numId w:val="1002"/>
        </w:numPr>
        <w:pStyle w:val="Compact"/>
      </w:pPr>
      <w:r>
        <w:t xml:space="preserve">Entity formation (LLC, corp, partnership)</w:t>
      </w:r>
    </w:p>
    <w:p>
      <w:pPr>
        <w:numPr>
          <w:ilvl w:val="0"/>
          <w:numId w:val="1002"/>
        </w:numPr>
        <w:pStyle w:val="Compact"/>
      </w:pPr>
      <w:r>
        <w:t xml:space="preserve">Ongoing entity compliance (registered agent, annual filings, meeting minutes)</w:t>
      </w:r>
    </w:p>
    <w:p>
      <w:pPr>
        <w:numPr>
          <w:ilvl w:val="0"/>
          <w:numId w:val="1002"/>
        </w:numPr>
        <w:pStyle w:val="Compact"/>
      </w:pPr>
      <w:r>
        <w:t xml:space="preserve">Operating agreement drafting (attorney-reviewed for asset protection language)</w:t>
      </w:r>
    </w:p>
    <w:p>
      <w:pPr>
        <w:numPr>
          <w:ilvl w:val="0"/>
          <w:numId w:val="1002"/>
        </w:numPr>
        <w:pStyle w:val="Compact"/>
      </w:pPr>
      <w:r>
        <w:t xml:space="preserve">Land trust drafting (signature product)</w:t>
      </w:r>
    </w:p>
    <w:p>
      <w:pPr>
        <w:numPr>
          <w:ilvl w:val="0"/>
          <w:numId w:val="1002"/>
        </w:numPr>
        <w:pStyle w:val="Compact"/>
      </w:pPr>
      <w:r>
        <w:t xml:space="preserve">Revocable living trust drafting</w:t>
      </w:r>
    </w:p>
    <w:p>
      <w:pPr>
        <w:numPr>
          <w:ilvl w:val="0"/>
          <w:numId w:val="1002"/>
        </w:numPr>
        <w:pStyle w:val="Compact"/>
      </w:pPr>
      <w:r>
        <w:t xml:space="preserve">Domestic Asset Protection Trust (DAPT) setup and administration</w:t>
      </w:r>
    </w:p>
    <w:p>
      <w:pPr>
        <w:numPr>
          <w:ilvl w:val="0"/>
          <w:numId w:val="1002"/>
        </w:numPr>
        <w:pStyle w:val="Compact"/>
      </w:pPr>
      <w:r>
        <w:t xml:space="preserve">Tax preparation (federal + state + entity returns)</w:t>
      </w:r>
    </w:p>
    <w:p>
      <w:pPr>
        <w:numPr>
          <w:ilvl w:val="0"/>
          <w:numId w:val="1002"/>
        </w:numPr>
        <w:pStyle w:val="Compact"/>
      </w:pPr>
      <w:r>
        <w:t xml:space="preserve">Bookkeeping (Anderson Digital Bookkeeping + Baselane integration)</w:t>
      </w:r>
    </w:p>
    <w:p>
      <w:pPr>
        <w:numPr>
          <w:ilvl w:val="0"/>
          <w:numId w:val="1002"/>
        </w:numPr>
        <w:pStyle w:val="Compact"/>
      </w:pPr>
      <w:r>
        <w:t xml:space="preserve">Ongoing legal and tax Q&amp;A through the Platinum portal</w:t>
      </w:r>
    </w:p>
    <w:p>
      <w:pPr>
        <w:pStyle w:val="FirstParagraph"/>
      </w:pPr>
      <w:r>
        <w:rPr>
          <w:b/>
        </w:rPr>
        <w:t xml:space="preserve">The value proposition:</w:t>
      </w:r>
      <w:r>
        <w:t xml:space="preserve"> </w:t>
      </w:r>
      <w:r>
        <w:t xml:space="preserve">reduce the client’s cognitive load of managing six vendors → one firm.</w:t>
      </w:r>
      <w:r>
        <w:t xml:space="preserve"> </w:t>
      </w:r>
      <w:r>
        <w:rPr>
          <w:b/>
        </w:rPr>
        <w:t xml:space="preserve">The trade-off:</w:t>
      </w:r>
      <w:r>
        <w:t xml:space="preserve"> </w:t>
      </w:r>
      <w:r>
        <w:t xml:space="preserve">all eggs in one basket → when Anderson’s service dips (well-documented in 2023-2024), every client function gets hit simultaneously.</w:t>
      </w:r>
    </w:p>
    <w:p>
      <w:pPr>
        <w:pStyle w:val="Heading3"/>
      </w:pPr>
      <w:bookmarkStart w:id="36" w:name="X1014100ac5f8956c9f248e76fbca80c965300bc"/>
      <w:r>
        <w:t xml:space="preserve">3.2 Multi-State Legal Delivery — The UPL Architecture</w:t>
      </w:r>
      <w:bookmarkEnd w:id="36"/>
    </w:p>
    <w:p>
      <w:pPr>
        <w:pStyle w:val="FirstParagraph"/>
      </w:pPr>
      <w:r>
        <w:t xml:space="preserve">Anderson faces the same unauthorized-practice-of-law (UPL) problem every national legal brand faces. The structure Anderson uses:</w:t>
      </w:r>
    </w:p>
    <w:p>
      <w:pPr>
        <w:numPr>
          <w:ilvl w:val="0"/>
          <w:numId w:val="1003"/>
        </w:numPr>
        <w:pStyle w:val="Compact"/>
      </w:pPr>
      <w:r>
        <w:rPr>
          <w:b/>
        </w:rPr>
        <w:t xml:space="preserve">Anderson attorneys licensed in WA, NV, WY, UT</w:t>
      </w:r>
      <w:r>
        <w:t xml:space="preserve"> </w:t>
      </w:r>
      <w:r>
        <w:t xml:space="preserve">(verified from office locations) and additional bar admissions for specific partners.</w:t>
      </w:r>
    </w:p>
    <w:p>
      <w:pPr>
        <w:numPr>
          <w:ilvl w:val="0"/>
          <w:numId w:val="1003"/>
        </w:numPr>
        <w:pStyle w:val="Compact"/>
      </w:pPr>
      <w:r>
        <w:t xml:space="preserve">For clients in</w:t>
      </w:r>
      <w:r>
        <w:t xml:space="preserve"> </w:t>
      </w:r>
      <w:r>
        <w:rPr>
          <w:b/>
        </w:rPr>
        <w:t xml:space="preserve">non-Anderson-attorney states:</w:t>
      </w:r>
      <w:r>
        <w:t xml:space="preserve"> </w:t>
      </w:r>
      <w:r>
        <w:t xml:space="preserve">the firm routes legal-advice matters to partner attorneys licensed in that state. Educational content, strategy, and structural design are provided by Anderson (under education and business-consulting rules that do not require a local law license).</w:t>
      </w:r>
    </w:p>
    <w:p>
      <w:pPr>
        <w:numPr>
          <w:ilvl w:val="0"/>
          <w:numId w:val="1003"/>
        </w:numPr>
        <w:pStyle w:val="Compact"/>
      </w:pPr>
      <w:r>
        <w:rPr>
          <w:b/>
        </w:rPr>
        <w:t xml:space="preserve">Document drafting</w:t>
      </w:r>
      <w:r>
        <w:t xml:space="preserve"> </w:t>
      </w:r>
      <w:r>
        <w:t xml:space="preserve">for state-specific LLCs is done by Anderson’s in-house team and is signed/reviewed by an attorney licensed in the state of formation where it matters.</w:t>
      </w:r>
    </w:p>
    <w:p>
      <w:pPr>
        <w:numPr>
          <w:ilvl w:val="0"/>
          <w:numId w:val="1003"/>
        </w:numPr>
        <w:pStyle w:val="Compact"/>
      </w:pPr>
      <w:r>
        <w:rPr>
          <w:b/>
        </w:rPr>
        <w:t xml:space="preserve">Tax and bookkeeping</w:t>
      </w:r>
      <w:r>
        <w:t xml:space="preserve"> </w:t>
      </w:r>
      <w:r>
        <w:t xml:space="preserve">operate under CPA practice rules (which permit multi-state practice more liberally than legal practice).</w:t>
      </w:r>
    </w:p>
    <w:p>
      <w:pPr>
        <w:pStyle w:val="FirstParagraph"/>
      </w:pPr>
      <w:r>
        <w:t xml:space="preserve">Genesis faces the identical UPL architecture challenge. The Anderson model is one of the references Genesis should benchmark the Vince-Shawn-Genesis triad against. Shawn Olson (Prince Drive, California) handles California-licensed legal work; Genesis handles research/architecture/AI; and for non-California clients the triad needs a partner-attorney network built the same way Anderson has built theirs.</w:t>
      </w:r>
    </w:p>
    <w:p>
      <w:pPr>
        <w:pStyle w:val="Heading3"/>
      </w:pPr>
      <w:bookmarkStart w:id="37" w:name="Xd39d810cc01b2756de0d7889882cdd76c56f5aa"/>
      <w:r>
        <w:t xml:space="preserve">3.3 The Scale-Enabling Layer — Paralegals and Client Service</w:t>
      </w:r>
      <w:bookmarkEnd w:id="37"/>
    </w:p>
    <w:p>
      <w:pPr>
        <w:pStyle w:val="FirstParagraph"/>
      </w:pPr>
      <w:r>
        <w:t xml:space="preserve">Anderson achieves ~20,000 active clients per ~30 in-house attorneys by heavily leveraging paralegals and client-service specialists:</w:t>
      </w:r>
    </w:p>
    <w:p>
      <w:pPr>
        <w:numPr>
          <w:ilvl w:val="0"/>
          <w:numId w:val="1004"/>
        </w:numPr>
        <w:pStyle w:val="Compact"/>
      </w:pPr>
      <w:r>
        <w:rPr>
          <w:b/>
        </w:rPr>
        <w:t xml:space="preserve">Ratio:</w:t>
      </w:r>
      <w:r>
        <w:t xml:space="preserve"> </w:t>
      </w:r>
      <w:r>
        <w:t xml:space="preserve">roughly 3-5 paralegals per attorney</w:t>
      </w:r>
    </w:p>
    <w:p>
      <w:pPr>
        <w:numPr>
          <w:ilvl w:val="0"/>
          <w:numId w:val="1004"/>
        </w:numPr>
        <w:pStyle w:val="Compact"/>
      </w:pPr>
      <w:r>
        <w:rPr>
          <w:b/>
        </w:rPr>
        <w:t xml:space="preserve">Function:</w:t>
      </w:r>
      <w:r>
        <w:t xml:space="preserve"> </w:t>
      </w:r>
      <w:r>
        <w:t xml:space="preserve">paralegals handle entity-formation filings, registered-agent updates, annual compliance, routine client communication, entity maintenance, and triage of Platinum portal questions</w:t>
      </w:r>
    </w:p>
    <w:p>
      <w:pPr>
        <w:numPr>
          <w:ilvl w:val="0"/>
          <w:numId w:val="1004"/>
        </w:numPr>
        <w:pStyle w:val="Compact"/>
      </w:pPr>
      <w:r>
        <w:rPr>
          <w:b/>
        </w:rPr>
        <w:t xml:space="preserve">Attorney involvement:</w:t>
      </w:r>
      <w:r>
        <w:t xml:space="preserve"> </w:t>
      </w:r>
      <w:r>
        <w:t xml:space="preserve">attorneys get involved for strategy sessions, bespoke drafting, DAPT administration, and complex-fact-pattern questions that the paralegal team cannot handle from the template library</w:t>
      </w:r>
    </w:p>
    <w:p>
      <w:pPr>
        <w:pStyle w:val="FirstParagraph"/>
      </w:pPr>
      <w:r>
        <w:t xml:space="preserve">This is structurally the same leverage model Genesis plans to use with AI, at a higher magnitude. Anderson gets ~600:1 client-to-attorney leverage through humans. Genesis can push to 3,000:1 through AI-assisted delivery, with an attorney on signature for anything legally binding.</w:t>
      </w:r>
    </w:p>
    <w:p>
      <w:pPr>
        <w:pStyle w:val="Heading3"/>
      </w:pPr>
      <w:bookmarkStart w:id="38" w:name="technology-stack-inferred"/>
      <w:r>
        <w:t xml:space="preserve">3.4 Technology Stack (inferred)</w:t>
      </w:r>
      <w:bookmarkEnd w:id="38"/>
    </w:p>
    <w:p>
      <w:pPr>
        <w:pStyle w:val="FirstParagraph"/>
      </w:pPr>
      <w:r>
        <w:t xml:space="preserve">Anderson does not publicly disclose their stack, but from BBB reviews, client forum posts, and known integrations:</w:t>
      </w:r>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Function</w:t>
            </w:r>
          </w:p>
        </w:tc>
        <w:tc>
          <w:tcPr>
            <w:tcBorders>
              <w:bottom w:val="single"/>
            </w:tcBorders>
            <w:vAlign w:val="bottom"/>
          </w:tcPr>
          <w:p>
            <w:pPr>
              <w:pStyle w:val="Compact"/>
              <w:jc w:val="left"/>
            </w:pPr>
            <w:r>
              <w:t xml:space="preserve">Likely Platform</w:t>
            </w:r>
          </w:p>
        </w:tc>
      </w:tr>
      <w:tr>
        <w:tc>
          <w:p>
            <w:pPr>
              <w:pStyle w:val="Compact"/>
              <w:jc w:val="left"/>
            </w:pPr>
            <w:r>
              <w:t xml:space="preserve">CRM</w:t>
            </w:r>
          </w:p>
        </w:tc>
        <w:tc>
          <w:p>
            <w:pPr>
              <w:pStyle w:val="Compact"/>
              <w:jc w:val="left"/>
            </w:pPr>
            <w:r>
              <w:t xml:space="preserve">Salesforce (referenced in BBB complaints), possibly HubSpot</w:t>
            </w:r>
          </w:p>
        </w:tc>
      </w:tr>
      <w:tr>
        <w:tc>
          <w:p>
            <w:pPr>
              <w:pStyle w:val="Compact"/>
              <w:jc w:val="left"/>
            </w:pPr>
            <w:r>
              <w:t xml:space="preserve">Document automation</w:t>
            </w:r>
          </w:p>
        </w:tc>
        <w:tc>
          <w:p>
            <w:pPr>
              <w:pStyle w:val="Compact"/>
              <w:jc w:val="left"/>
            </w:pPr>
            <w:r>
              <w:t xml:space="preserve">Likely in-house + Needles or HotDocs-class for drafting</w:t>
            </w:r>
          </w:p>
        </w:tc>
      </w:tr>
      <w:tr>
        <w:tc>
          <w:p>
            <w:pPr>
              <w:pStyle w:val="Compact"/>
              <w:jc w:val="left"/>
            </w:pPr>
            <w:r>
              <w:t xml:space="preserve">Client portal</w:t>
            </w:r>
          </w:p>
        </w:tc>
        <w:tc>
          <w:p>
            <w:pPr>
              <w:pStyle w:val="Compact"/>
              <w:jc w:val="left"/>
            </w:pPr>
            <w:r>
              <w:t xml:space="preserve">Custom build (referenced as the</w:t>
            </w:r>
            <w:r>
              <w:t xml:space="preserve"> </w:t>
            </w:r>
            <w:r>
              <w:t xml:space="preserve">“</w:t>
            </w:r>
            <w:r>
              <w:t xml:space="preserve">Platinum portal</w:t>
            </w:r>
            <w:r>
              <w:t xml:space="preserve">”</w:t>
            </w:r>
            <w:r>
              <w:t xml:space="preserve">)</w:t>
            </w:r>
          </w:p>
        </w:tc>
      </w:tr>
      <w:tr>
        <w:tc>
          <w:p>
            <w:pPr>
              <w:pStyle w:val="Compact"/>
              <w:jc w:val="left"/>
            </w:pPr>
            <w:r>
              <w:t xml:space="preserve">Bookkeeping</w:t>
            </w:r>
          </w:p>
        </w:tc>
        <w:tc>
          <w:p>
            <w:pPr>
              <w:pStyle w:val="Compact"/>
              <w:jc w:val="left"/>
            </w:pPr>
            <w:r>
              <w:t xml:space="preserve">Baselane (verified partnership from CBInsights) + QuickBooks (Anderson’s</w:t>
            </w:r>
            <w:r>
              <w:t xml:space="preserve"> </w:t>
            </w:r>
            <w:r>
              <w:t xml:space="preserve">“</w:t>
            </w:r>
            <w:r>
              <w:t xml:space="preserve">Firm of the Future</w:t>
            </w:r>
            <w:r>
              <w:t xml:space="preserve">”</w:t>
            </w:r>
            <w:r>
              <w:t xml:space="preserve"> </w:t>
            </w:r>
            <w:r>
              <w:t xml:space="preserve">from Intuit award referenced in Toby’s bio suggests deep QB integration)</w:t>
            </w:r>
          </w:p>
        </w:tc>
      </w:tr>
      <w:tr>
        <w:tc>
          <w:p>
            <w:pPr>
              <w:pStyle w:val="Compact"/>
              <w:jc w:val="left"/>
            </w:pPr>
            <w:r>
              <w:t xml:space="preserve">Tax prep</w:t>
            </w:r>
          </w:p>
        </w:tc>
        <w:tc>
          <w:p>
            <w:pPr>
              <w:pStyle w:val="Compact"/>
              <w:jc w:val="left"/>
            </w:pPr>
            <w:r>
              <w:t xml:space="preserve">Unknown, likely CCH Axcess or ProSystem fx</w:t>
            </w:r>
          </w:p>
        </w:tc>
      </w:tr>
      <w:tr>
        <w:tc>
          <w:p>
            <w:pPr>
              <w:pStyle w:val="Compact"/>
              <w:jc w:val="left"/>
            </w:pPr>
            <w:r>
              <w:t xml:space="preserve">Video production</w:t>
            </w:r>
          </w:p>
        </w:tc>
        <w:tc>
          <w:p>
            <w:pPr>
              <w:pStyle w:val="Compact"/>
              <w:jc w:val="left"/>
            </w:pPr>
            <w:r>
              <w:t xml:space="preserve">In-house studio (visible in Tax Tuesdays streams)</w:t>
            </w:r>
          </w:p>
        </w:tc>
      </w:tr>
      <w:tr>
        <w:tc>
          <w:p>
            <w:pPr>
              <w:pStyle w:val="Compact"/>
              <w:jc w:val="left"/>
            </w:pPr>
            <w:r>
              <w:t xml:space="preserve">Email/newsletter</w:t>
            </w:r>
          </w:p>
        </w:tc>
        <w:tc>
          <w:p>
            <w:pPr>
              <w:pStyle w:val="Compact"/>
              <w:jc w:val="left"/>
            </w:pPr>
            <w:r>
              <w:t xml:space="preserve">Unknown (likely HubSpot or Marketo given volume)</w:t>
            </w:r>
          </w:p>
        </w:tc>
      </w:tr>
      <w:tr>
        <w:tc>
          <w:p>
            <w:pPr>
              <w:pStyle w:val="Compact"/>
              <w:jc w:val="left"/>
            </w:pPr>
            <w:r>
              <w:t xml:space="preserve">Webinar delivery</w:t>
            </w:r>
          </w:p>
        </w:tc>
        <w:tc>
          <w:p>
            <w:pPr>
              <w:pStyle w:val="Compact"/>
              <w:jc w:val="left"/>
            </w:pPr>
            <w:r>
              <w:t xml:space="preserve">Zoom or GoToWebinar</w:t>
            </w:r>
          </w:p>
        </w:tc>
      </w:tr>
    </w:tbl>
    <w:p>
      <w:pPr>
        <w:pStyle w:val="BodyText"/>
      </w:pPr>
      <w:r>
        <w:rPr>
          <w:b/>
        </w:rPr>
        <w:t xml:space="preserve">Gap in Anderson’s stack:</w:t>
      </w:r>
      <w:r>
        <w:t xml:space="preserve"> </w:t>
      </w:r>
      <w:r>
        <w:t xml:space="preserve">no AI-driven continuous monitoring. No semantic search over client structure. No automated drift detection. No agentic client-facing assistant. This is Genesis’s open door.</w:t>
      </w:r>
    </w:p>
    <w:p>
      <w:r>
        <w:pict>
          <v:rect style="width:0;height:1.5pt" o:hralign="center" o:hrstd="t" o:hr="t"/>
        </w:pict>
      </w:r>
    </w:p>
    <w:p>
      <w:pPr>
        <w:pStyle w:val="Heading2"/>
      </w:pPr>
      <w:bookmarkStart w:id="39" w:name="content-engine-and-event-strategy"/>
      <w:r>
        <w:t xml:space="preserve">4. CONTENT ENGINE AND EVENT STRATEGY</w:t>
      </w:r>
      <w:bookmarkEnd w:id="39"/>
    </w:p>
    <w:p>
      <w:pPr>
        <w:pStyle w:val="Heading3"/>
      </w:pPr>
      <w:bookmarkStart w:id="40" w:name="content-cadence-verified"/>
      <w:r>
        <w:t xml:space="preserve">4.1 Content Cadence (Verified)</w:t>
      </w:r>
      <w:bookmarkEnd w:id="40"/>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Channel</w:t>
            </w:r>
          </w:p>
        </w:tc>
        <w:tc>
          <w:tcPr>
            <w:tcBorders>
              <w:bottom w:val="single"/>
            </w:tcBorders>
            <w:vAlign w:val="bottom"/>
          </w:tcPr>
          <w:p>
            <w:pPr>
              <w:pStyle w:val="Compact"/>
              <w:jc w:val="left"/>
            </w:pPr>
            <w:r>
              <w:t xml:space="preserve">Frequency</w:t>
            </w:r>
          </w:p>
        </w:tc>
        <w:tc>
          <w:tcPr>
            <w:tcBorders>
              <w:bottom w:val="single"/>
            </w:tcBorders>
            <w:vAlign w:val="bottom"/>
          </w:tcPr>
          <w:p>
            <w:pPr>
              <w:pStyle w:val="Compact"/>
              <w:jc w:val="left"/>
            </w:pPr>
            <w:r>
              <w:t xml:space="preserve">Scale</w:t>
            </w:r>
          </w:p>
        </w:tc>
      </w:tr>
      <w:tr>
        <w:tc>
          <w:p>
            <w:pPr>
              <w:pStyle w:val="Compact"/>
              <w:jc w:val="left"/>
            </w:pPr>
            <w:r>
              <w:t xml:space="preserve">Clint Coons YouTube</w:t>
            </w:r>
          </w:p>
        </w:tc>
        <w:tc>
          <w:p>
            <w:pPr>
              <w:pStyle w:val="Compact"/>
              <w:jc w:val="left"/>
            </w:pPr>
            <w:r>
              <w:t xml:space="preserve">3-5 videos/week</w:t>
            </w:r>
          </w:p>
        </w:tc>
        <w:tc>
          <w:p>
            <w:pPr>
              <w:pStyle w:val="Compact"/>
              <w:jc w:val="left"/>
            </w:pPr>
            <w:r>
              <w:t xml:space="preserve">300K+ subscribers, 21M+ cumulative views</w:t>
            </w:r>
          </w:p>
        </w:tc>
      </w:tr>
      <w:tr>
        <w:tc>
          <w:p>
            <w:pPr>
              <w:pStyle w:val="Compact"/>
              <w:jc w:val="left"/>
            </w:pPr>
            <w:r>
              <w:t xml:space="preserve">Toby Mathis YouTube</w:t>
            </w:r>
          </w:p>
        </w:tc>
        <w:tc>
          <w:p>
            <w:pPr>
              <w:pStyle w:val="Compact"/>
              <w:jc w:val="left"/>
            </w:pPr>
            <w:r>
              <w:t xml:space="preserve">2-3 videos/week</w:t>
            </w:r>
          </w:p>
        </w:tc>
        <w:tc>
          <w:p>
            <w:pPr>
              <w:pStyle w:val="Compact"/>
              <w:jc w:val="left"/>
            </w:pPr>
            <w:r>
              <w:t xml:space="preserve">~100K+ subscribers (separate channel)</w:t>
            </w:r>
          </w:p>
        </w:tc>
      </w:tr>
      <w:tr>
        <w:tc>
          <w:p>
            <w:pPr>
              <w:pStyle w:val="Compact"/>
              <w:jc w:val="left"/>
            </w:pPr>
            <w:r>
              <w:t xml:space="preserve">Anderson Business Advisors main YouTube</w:t>
            </w:r>
          </w:p>
        </w:tc>
        <w:tc>
          <w:p>
            <w:pPr>
              <w:pStyle w:val="Compact"/>
              <w:jc w:val="left"/>
            </w:pPr>
            <w:r>
              <w:t xml:space="preserve">1-2 videos/week</w:t>
            </w:r>
          </w:p>
        </w:tc>
        <w:tc>
          <w:p>
            <w:pPr>
              <w:pStyle w:val="Compact"/>
              <w:jc w:val="left"/>
            </w:pPr>
            <w:r>
              <w:t xml:space="preserve">Firm-branded content</w:t>
            </w:r>
          </w:p>
        </w:tc>
      </w:tr>
      <w:tr>
        <w:tc>
          <w:p>
            <w:pPr>
              <w:pStyle w:val="Compact"/>
              <w:jc w:val="left"/>
            </w:pPr>
            <w:r>
              <w:t xml:space="preserve">Tax Tuesdays live stream</w:t>
            </w:r>
          </w:p>
        </w:tc>
        <w:tc>
          <w:p>
            <w:pPr>
              <w:pStyle w:val="Compact"/>
              <w:jc w:val="left"/>
            </w:pPr>
            <w:r>
              <w:t xml:space="preserve">Bi-weekly (was weekly; changed 2024-2025)</w:t>
            </w:r>
          </w:p>
        </w:tc>
        <w:tc>
          <w:p>
            <w:pPr>
              <w:pStyle w:val="Compact"/>
              <w:jc w:val="left"/>
            </w:pPr>
            <w:r>
              <w:t xml:space="preserve">60-90 min live + full archive</w:t>
            </w:r>
          </w:p>
        </w:tc>
      </w:tr>
      <w:tr>
        <w:tc>
          <w:p>
            <w:pPr>
              <w:pStyle w:val="Compact"/>
              <w:jc w:val="left"/>
            </w:pPr>
            <w:r>
              <w:t xml:space="preserve">Free webinars</w:t>
            </w:r>
          </w:p>
        </w:tc>
        <w:tc>
          <w:p>
            <w:pPr>
              <w:pStyle w:val="Compact"/>
              <w:jc w:val="left"/>
            </w:pPr>
            <w:r>
              <w:t xml:space="preserve">~1/week + special events</w:t>
            </w:r>
          </w:p>
        </w:tc>
        <w:tc>
          <w:p>
            <w:pPr>
              <w:pStyle w:val="Compact"/>
              <w:jc w:val="left"/>
            </w:pPr>
            <w:r>
              <w:t xml:space="preserve">~180,000 cumulative attendees per Anderson’s own stat</w:t>
            </w:r>
          </w:p>
        </w:tc>
      </w:tr>
      <w:tr>
        <w:tc>
          <w:p>
            <w:pPr>
              <w:pStyle w:val="Compact"/>
              <w:jc w:val="left"/>
            </w:pPr>
            <w:r>
              <w:t xml:space="preserve">Anderson blog</w:t>
            </w:r>
          </w:p>
        </w:tc>
        <w:tc>
          <w:p>
            <w:pPr>
              <w:pStyle w:val="Compact"/>
              <w:jc w:val="left"/>
            </w:pPr>
            <w:r>
              <w:t xml:space="preserve">3-5 posts/week</w:t>
            </w:r>
          </w:p>
        </w:tc>
        <w:tc>
          <w:p>
            <w:pPr>
              <w:pStyle w:val="Compact"/>
              <w:jc w:val="left"/>
            </w:pPr>
            <w:r>
              <w:t xml:space="preserve">High SEO footprint on</w:t>
            </w:r>
            <w:r>
              <w:t xml:space="preserve"> </w:t>
            </w:r>
            <w:r>
              <w:t xml:space="preserve">“</w:t>
            </w:r>
            <w:r>
              <w:t xml:space="preserve">Wyoming LLC,</w:t>
            </w:r>
            <w:r>
              <w:t xml:space="preserve">”</w:t>
            </w:r>
            <w:r>
              <w:t xml:space="preserve"> </w:t>
            </w:r>
            <w:r>
              <w:t xml:space="preserve">“</w:t>
            </w:r>
            <w:r>
              <w:t xml:space="preserve">land trust,</w:t>
            </w:r>
            <w:r>
              <w:t xml:space="preserve">”</w:t>
            </w:r>
            <w:r>
              <w:t xml:space="preserve"> </w:t>
            </w:r>
            <w:r>
              <w:t xml:space="preserve">“</w:t>
            </w:r>
            <w:r>
              <w:t xml:space="preserve">asset protection</w:t>
            </w:r>
            <w:r>
              <w:t xml:space="preserve">”</w:t>
            </w:r>
            <w:r>
              <w:t xml:space="preserve"> </w:t>
            </w:r>
            <w:r>
              <w:t xml:space="preserve">terms</w:t>
            </w:r>
          </w:p>
        </w:tc>
      </w:tr>
      <w:tr>
        <w:tc>
          <w:p>
            <w:pPr>
              <w:pStyle w:val="Compact"/>
              <w:jc w:val="left"/>
            </w:pPr>
            <w:r>
              <w:t xml:space="preserve">Platinum Insider content library</w:t>
            </w:r>
          </w:p>
        </w:tc>
        <w:tc>
          <w:p>
            <w:pPr>
              <w:pStyle w:val="Compact"/>
              <w:jc w:val="left"/>
            </w:pPr>
            <w:r>
              <w:t xml:space="preserve">Weekly drops</w:t>
            </w:r>
          </w:p>
        </w:tc>
        <w:tc>
          <w:p>
            <w:pPr>
              <w:pStyle w:val="Compact"/>
              <w:jc w:val="left"/>
            </w:pPr>
            <w:r>
              <w:t xml:space="preserve">Gated to paying members</w:t>
            </w:r>
          </w:p>
        </w:tc>
      </w:tr>
      <w:tr>
        <w:tc>
          <w:p>
            <w:pPr>
              <w:pStyle w:val="Compact"/>
              <w:jc w:val="left"/>
            </w:pPr>
            <w:r>
              <w:t xml:space="preserve">Podcast appearances</w:t>
            </w:r>
          </w:p>
        </w:tc>
        <w:tc>
          <w:p>
            <w:pPr>
              <w:pStyle w:val="Compact"/>
              <w:jc w:val="left"/>
            </w:pPr>
            <w:r>
              <w:t xml:space="preserve">10-20 per month across hosts</w:t>
            </w:r>
          </w:p>
        </w:tc>
        <w:tc>
          <w:p>
            <w:pPr>
              <w:pStyle w:val="Compact"/>
              <w:jc w:val="left"/>
            </w:pPr>
            <w:r>
              <w:t xml:space="preserve">Cross-audience reach</w:t>
            </w:r>
          </w:p>
        </w:tc>
      </w:tr>
    </w:tbl>
    <w:p>
      <w:pPr>
        <w:pStyle w:val="Heading3"/>
      </w:pPr>
      <w:bookmarkStart w:id="41" w:name="the-webinar-funnel-the-commercial-engine"/>
      <w:r>
        <w:t xml:space="preserve">4.2 The Webinar Funnel (the commercial engine)</w:t>
      </w:r>
      <w:bookmarkEnd w:id="41"/>
    </w:p>
    <w:p>
      <w:pPr>
        <w:pStyle w:val="FirstParagraph"/>
      </w:pPr>
      <w:r>
        <w:t xml:space="preserve">Free webinar →</w:t>
      </w:r>
      <w:r>
        <w:t xml:space="preserve"> </w:t>
      </w:r>
      <w:r>
        <w:t xml:space="preserve">“</w:t>
      </w:r>
      <w:r>
        <w:t xml:space="preserve">free 45-minute asset protection strategy session</w:t>
      </w:r>
      <w:r>
        <w:t xml:space="preserve">”</w:t>
      </w:r>
      <w:r>
        <w:t xml:space="preserve"> </w:t>
      </w:r>
      <w:r>
        <w:t xml:space="preserve">(Clint’s primary CTA, URL</w:t>
      </w:r>
      <w:r>
        <w:t xml:space="preserve"> </w:t>
      </w:r>
      <w:r>
        <w:rPr>
          <w:rStyle w:val="VerbatimChar"/>
        </w:rPr>
        <w:t xml:space="preserve">aba.link/cd7</w:t>
      </w:r>
      <w:r>
        <w:t xml:space="preserve">) → strategy-session team qualifies prospect → upsell to Platinum ($3,495 + $75/mo) or Titanium ($10K-$30K range).</w:t>
      </w:r>
    </w:p>
    <w:p>
      <w:pPr>
        <w:pStyle w:val="BodyText"/>
      </w:pPr>
      <w:r>
        <w:t xml:space="preserve">This is the core commercial engine. It works because:</w:t>
      </w:r>
      <w:r>
        <w:t xml:space="preserve"> </w:t>
      </w:r>
      <w:r>
        <w:t xml:space="preserve">1. The free content is genuinely high-value (not loss-leader teaser — actual teaching).</w:t>
      </w:r>
      <w:r>
        <w:t xml:space="preserve"> </w:t>
      </w:r>
      <w:r>
        <w:t xml:space="preserve">2. The strategy session is run by non-attorney strategists who qualify without triggering UPL.</w:t>
      </w:r>
      <w:r>
        <w:t xml:space="preserve"> </w:t>
      </w:r>
      <w:r>
        <w:t xml:space="preserve">3. The Platinum price point ($3,495) is low enough that a real-estate investor with $500K+ net worth can self-approve the spend without spouse committee approval.</w:t>
      </w:r>
      <w:r>
        <w:t xml:space="preserve"> </w:t>
      </w:r>
      <w:r>
        <w:t xml:space="preserve">4. The flywheel compounds — each paying client is a reference and a word-of-mouth vector; the YouTube channel grows; the workshop attendance grows; the Platinum enrollment grows.</w:t>
      </w:r>
    </w:p>
    <w:p>
      <w:pPr>
        <w:pStyle w:val="Heading3"/>
      </w:pPr>
      <w:bookmarkStart w:id="42" w:name="events"/>
      <w:r>
        <w:t xml:space="preserve">4.3 Events</w:t>
      </w:r>
      <w:bookmarkEnd w:id="42"/>
    </w:p>
    <w:p>
      <w:pPr>
        <w:pStyle w:val="FirstParagraph"/>
      </w:pPr>
      <w:r>
        <w:t xml:space="preserve">Historically: Real Estate Investor Summit, Financial Freedom Summit, Tax &amp; Asset Protection Workshop. Current (per</w:t>
      </w:r>
      <w:r>
        <w:t xml:space="preserve"> </w:t>
      </w:r>
      <w:r>
        <w:rPr>
          <w:rStyle w:val="VerbatimChar"/>
        </w:rPr>
        <w:t xml:space="preserve">andersonadvisors.com/</w:t>
      </w:r>
      <w:r>
        <w:t xml:space="preserve"> </w:t>
      </w:r>
      <w:r>
        <w:t xml:space="preserve">2026 homepage):</w:t>
      </w:r>
      <w:r>
        <w:t xml:space="preserve"> </w:t>
      </w:r>
      <w:r>
        <w:rPr>
          <w:b/>
        </w:rPr>
        <w:t xml:space="preserve">“</w:t>
      </w:r>
      <w:r>
        <w:rPr>
          <w:b/>
        </w:rPr>
        <w:t xml:space="preserve">A three day workshop, live and in person. May 28-30, 2026</w:t>
      </w:r>
      <w:r>
        <w:rPr>
          <w:b/>
        </w:rPr>
        <w:t xml:space="preserve">”</w:t>
      </w:r>
      <w:r>
        <w:t xml:space="preserve"> </w:t>
      </w:r>
      <w:r>
        <w:t xml:space="preserve">in Las Vegas. The Structure Implementation Workshop is a recurring multi-day event that serves as the Titanium upsell venue.</w:t>
      </w:r>
    </w:p>
    <w:p>
      <w:pPr>
        <w:pStyle w:val="BodyText"/>
      </w:pPr>
      <w:r>
        <w:t xml:space="preserve">Event attendance is reported as</w:t>
      </w:r>
      <w:r>
        <w:t xml:space="preserve"> </w:t>
      </w:r>
      <w:r>
        <w:t xml:space="preserve">“</w:t>
      </w:r>
      <w:r>
        <w:t xml:space="preserve">tens of thousands</w:t>
      </w:r>
      <w:r>
        <w:t xml:space="preserve">”</w:t>
      </w:r>
      <w:r>
        <w:t xml:space="preserve"> </w:t>
      </w:r>
      <w:r>
        <w:t xml:space="preserve">cumulatively. Per-event attendance appears to range from 200-800 for workshops and up to 1,500 for the big annual Summit.</w:t>
      </w:r>
    </w:p>
    <w:p>
      <w:pPr>
        <w:pStyle w:val="Heading3"/>
      </w:pPr>
      <w:bookmarkStart w:id="43" w:name="partnership-and-affiliate-network"/>
      <w:r>
        <w:t xml:space="preserve">4.4 Partnership and Affiliate Network</w:t>
      </w:r>
      <w:bookmarkEnd w:id="43"/>
    </w:p>
    <w:p>
      <w:pPr>
        <w:numPr>
          <w:ilvl w:val="0"/>
          <w:numId w:val="1005"/>
        </w:numPr>
        <w:pStyle w:val="Compact"/>
      </w:pPr>
      <w:r>
        <w:rPr>
          <w:b/>
        </w:rPr>
        <w:t xml:space="preserve">BiggerPockets</w:t>
      </w:r>
      <w:r>
        <w:t xml:space="preserve"> </w:t>
      </w:r>
      <w:r>
        <w:t xml:space="preserve">— Clint is a frequent BP podcast guest; Anderson runs paid ads and has an affiliate/referral relationship with BP.</w:t>
      </w:r>
    </w:p>
    <w:p>
      <w:pPr>
        <w:numPr>
          <w:ilvl w:val="0"/>
          <w:numId w:val="1005"/>
        </w:numPr>
        <w:pStyle w:val="Compact"/>
      </w:pPr>
      <w:r>
        <w:rPr>
          <w:b/>
        </w:rPr>
        <w:t xml:space="preserve">Rich Dad / Robert Kiyosaki</w:t>
      </w:r>
      <w:r>
        <w:t xml:space="preserve"> </w:t>
      </w:r>
      <w:r>
        <w:t xml:space="preserve">— deep cross-pollination; Clint and Toby appear alongside Garrett Sutton, Tom Wheelwright, Ken McElroy in Rich Dad content.</w:t>
      </w:r>
    </w:p>
    <w:p>
      <w:pPr>
        <w:numPr>
          <w:ilvl w:val="0"/>
          <w:numId w:val="1005"/>
        </w:numPr>
        <w:pStyle w:val="Compact"/>
      </w:pPr>
      <w:r>
        <w:rPr>
          <w:b/>
        </w:rPr>
        <w:t xml:space="preserve">REIA (Real Estate Investors Association) chapters</w:t>
      </w:r>
      <w:r>
        <w:t xml:space="preserve"> </w:t>
      </w:r>
      <w:r>
        <w:t xml:space="preserve">— Clint and Toby speak at regional REIA events nationally.</w:t>
      </w:r>
    </w:p>
    <w:p>
      <w:pPr>
        <w:numPr>
          <w:ilvl w:val="0"/>
          <w:numId w:val="1005"/>
        </w:numPr>
        <w:pStyle w:val="Compact"/>
      </w:pPr>
      <w:r>
        <w:rPr>
          <w:b/>
        </w:rPr>
        <w:t xml:space="preserve">Directed IRA (Mark Kohler’s platform)</w:t>
      </w:r>
      <w:r>
        <w:t xml:space="preserve"> </w:t>
      </w:r>
      <w:r>
        <w:t xml:space="preserve">— not a formal partnership but frequent cross-referencing on self-directed-IRA topics.</w:t>
      </w:r>
    </w:p>
    <w:p>
      <w:pPr>
        <w:numPr>
          <w:ilvl w:val="0"/>
          <w:numId w:val="1005"/>
        </w:numPr>
        <w:pStyle w:val="Compact"/>
      </w:pPr>
      <w:r>
        <w:rPr>
          <w:b/>
        </w:rPr>
        <w:t xml:space="preserve">InfinityInvesting.com</w:t>
      </w:r>
      <w:r>
        <w:t xml:space="preserve"> </w:t>
      </w:r>
      <w:r>
        <w:t xml:space="preserve">— Anderson’s sibling/owned brand for the Toby-led investment education line.</w:t>
      </w:r>
    </w:p>
    <w:p>
      <w:pPr>
        <w:numPr>
          <w:ilvl w:val="0"/>
          <w:numId w:val="1005"/>
        </w:numPr>
        <w:pStyle w:val="Compact"/>
      </w:pPr>
      <w:r>
        <w:rPr>
          <w:b/>
        </w:rPr>
        <w:t xml:space="preserve">Baselane</w:t>
      </w:r>
      <w:r>
        <w:t xml:space="preserve"> </w:t>
      </w:r>
      <w:r>
        <w:t xml:space="preserve">(2024-2025) — banking and bookkeeping integration, Anderson’s most significant fintech partnership.</w:t>
      </w:r>
    </w:p>
    <w:p>
      <w:r>
        <w:pict>
          <v:rect style="width:0;height:1.5pt" o:hralign="center" o:hrstd="t" o:hr="t"/>
        </w:pict>
      </w:r>
    </w:p>
    <w:p>
      <w:pPr>
        <w:pStyle w:val="Heading2"/>
      </w:pPr>
      <w:bookmarkStart w:id="44" w:name="client-profile-and-lifecycle"/>
      <w:r>
        <w:t xml:space="preserve">5. CLIENT PROFILE AND LIFECYCLE</w:t>
      </w:r>
      <w:bookmarkEnd w:id="44"/>
    </w:p>
    <w:p>
      <w:pPr>
        <w:pStyle w:val="Heading3"/>
      </w:pPr>
      <w:bookmarkStart w:id="45" w:name="segmentation"/>
      <w:r>
        <w:t xml:space="preserve">5.1 Segmentation</w:t>
      </w:r>
      <w:bookmarkEnd w:id="45"/>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Segment</w:t>
            </w:r>
          </w:p>
        </w:tc>
        <w:tc>
          <w:tcPr>
            <w:tcBorders>
              <w:bottom w:val="single"/>
            </w:tcBorders>
            <w:vAlign w:val="bottom"/>
          </w:tcPr>
          <w:p>
            <w:pPr>
              <w:pStyle w:val="Compact"/>
              <w:jc w:val="left"/>
            </w:pPr>
            <w:r>
              <w:t xml:space="preserve">Share of Client Base (Genesis estimate)</w:t>
            </w:r>
          </w:p>
        </w:tc>
        <w:tc>
          <w:tcPr>
            <w:tcBorders>
              <w:bottom w:val="single"/>
            </w:tcBorders>
            <w:vAlign w:val="bottom"/>
          </w:tcPr>
          <w:p>
            <w:pPr>
              <w:pStyle w:val="Compact"/>
              <w:jc w:val="left"/>
            </w:pPr>
            <w:r>
              <w:t xml:space="preserve">Typical Profile</w:t>
            </w:r>
          </w:p>
        </w:tc>
      </w:tr>
      <w:tr>
        <w:tc>
          <w:p>
            <w:pPr>
              <w:pStyle w:val="Compact"/>
              <w:jc w:val="left"/>
            </w:pPr>
            <w:r>
              <w:rPr>
                <w:b/>
              </w:rPr>
              <w:t xml:space="preserve">Core: Real-estate investors (2-30 properties)</w:t>
            </w:r>
          </w:p>
        </w:tc>
        <w:tc>
          <w:p>
            <w:pPr>
              <w:pStyle w:val="Compact"/>
              <w:jc w:val="left"/>
            </w:pPr>
            <w:r>
              <w:t xml:space="preserve">~60%</w:t>
            </w:r>
          </w:p>
        </w:tc>
        <w:tc>
          <w:p>
            <w:pPr>
              <w:pStyle w:val="Compact"/>
              <w:jc w:val="left"/>
            </w:pPr>
            <w:r>
              <w:t xml:space="preserve">Portfolio $500K-$5M, mid-market Sunbelt geography</w:t>
            </w:r>
          </w:p>
        </w:tc>
      </w:tr>
      <w:tr>
        <w:tc>
          <w:p>
            <w:pPr>
              <w:pStyle w:val="Compact"/>
              <w:jc w:val="left"/>
            </w:pPr>
            <w:r>
              <w:rPr>
                <w:b/>
              </w:rPr>
              <w:t xml:space="preserve">Larger real-estate investors (30-100+ properties)</w:t>
            </w:r>
          </w:p>
        </w:tc>
        <w:tc>
          <w:p>
            <w:pPr>
              <w:pStyle w:val="Compact"/>
              <w:jc w:val="left"/>
            </w:pPr>
            <w:r>
              <w:t xml:space="preserve">~10%</w:t>
            </w:r>
          </w:p>
        </w:tc>
        <w:tc>
          <w:p>
            <w:pPr>
              <w:pStyle w:val="Compact"/>
              <w:jc w:val="left"/>
            </w:pPr>
            <w:r>
              <w:t xml:space="preserve">Portfolio $5M-$25M, often multi-state, may outgrow Anderson</w:t>
            </w:r>
          </w:p>
        </w:tc>
      </w:tr>
      <w:tr>
        <w:tc>
          <w:p>
            <w:pPr>
              <w:pStyle w:val="Compact"/>
              <w:jc w:val="left"/>
            </w:pPr>
            <w:r>
              <w:rPr>
                <w:b/>
              </w:rPr>
              <w:t xml:space="preserve">Small-business owners (service/e-commerce/solo)</w:t>
            </w:r>
          </w:p>
        </w:tc>
        <w:tc>
          <w:p>
            <w:pPr>
              <w:pStyle w:val="Compact"/>
              <w:jc w:val="left"/>
            </w:pPr>
            <w:r>
              <w:t xml:space="preserve">~15%</w:t>
            </w:r>
          </w:p>
        </w:tc>
        <w:tc>
          <w:p>
            <w:pPr>
              <w:pStyle w:val="Compact"/>
              <w:jc w:val="left"/>
            </w:pPr>
            <w:r>
              <w:t xml:space="preserve">Revenue $250K-$5M, asset-protection concerns</w:t>
            </w:r>
          </w:p>
        </w:tc>
      </w:tr>
      <w:tr>
        <w:tc>
          <w:p>
            <w:pPr>
              <w:pStyle w:val="Compact"/>
              <w:jc w:val="left"/>
            </w:pPr>
            <w:r>
              <w:rPr>
                <w:b/>
              </w:rPr>
              <w:t xml:space="preserve">Medical/dental/legal professionals</w:t>
            </w:r>
          </w:p>
        </w:tc>
        <w:tc>
          <w:p>
            <w:pPr>
              <w:pStyle w:val="Compact"/>
              <w:jc w:val="left"/>
            </w:pPr>
            <w:r>
              <w:t xml:space="preserve">~5%</w:t>
            </w:r>
          </w:p>
        </w:tc>
        <w:tc>
          <w:p>
            <w:pPr>
              <w:pStyle w:val="Compact"/>
              <w:jc w:val="left"/>
            </w:pPr>
            <w:r>
              <w:t xml:space="preserve">Malpractice exposure-driven planning</w:t>
            </w:r>
          </w:p>
        </w:tc>
      </w:tr>
      <w:tr>
        <w:tc>
          <w:p>
            <w:pPr>
              <w:pStyle w:val="Compact"/>
              <w:jc w:val="left"/>
            </w:pPr>
            <w:r>
              <w:rPr>
                <w:b/>
              </w:rPr>
              <w:t xml:space="preserve">Passive high-net-worth / Rich Dad audience</w:t>
            </w:r>
          </w:p>
        </w:tc>
        <w:tc>
          <w:p>
            <w:pPr>
              <w:pStyle w:val="Compact"/>
              <w:jc w:val="left"/>
            </w:pPr>
            <w:r>
              <w:t xml:space="preserve">~10%</w:t>
            </w:r>
          </w:p>
        </w:tc>
        <w:tc>
          <w:p>
            <w:pPr>
              <w:pStyle w:val="Compact"/>
              <w:jc w:val="left"/>
            </w:pPr>
            <w:r>
              <w:t xml:space="preserve">Cross-pollination, may not fit core real-estate use case</w:t>
            </w:r>
          </w:p>
        </w:tc>
      </w:tr>
    </w:tbl>
    <w:p>
      <w:pPr>
        <w:pStyle w:val="Heading3"/>
      </w:pPr>
      <w:bookmarkStart w:id="46" w:name="net-worth-economics"/>
      <w:r>
        <w:t xml:space="preserve">5.2 Net Worth Economics</w:t>
      </w:r>
      <w:bookmarkEnd w:id="46"/>
    </w:p>
    <w:p>
      <w:pPr>
        <w:numPr>
          <w:ilvl w:val="0"/>
          <w:numId w:val="1006"/>
        </w:numPr>
        <w:pStyle w:val="Compact"/>
      </w:pPr>
      <w:r>
        <w:rPr>
          <w:b/>
        </w:rPr>
        <w:t xml:space="preserve">Floor:</w:t>
      </w:r>
      <w:r>
        <w:t xml:space="preserve"> </w:t>
      </w:r>
      <w:r>
        <w:t xml:space="preserve">Platinum’s economic value begins around</w:t>
      </w:r>
      <w:r>
        <w:t xml:space="preserve"> </w:t>
      </w:r>
      <w:r>
        <w:rPr>
          <w:b/>
        </w:rPr>
        <w:t xml:space="preserve">$300K-$500K net worth with 2+ rental properties</w:t>
      </w:r>
      <w:r>
        <w:t xml:space="preserve">. Below that, DIY + local CPA is cheaper and equivalently effective.</w:t>
      </w:r>
    </w:p>
    <w:p>
      <w:pPr>
        <w:numPr>
          <w:ilvl w:val="0"/>
          <w:numId w:val="1006"/>
        </w:numPr>
        <w:pStyle w:val="Compact"/>
      </w:pPr>
      <w:r>
        <w:rPr>
          <w:b/>
        </w:rPr>
        <w:t xml:space="preserve">Ceiling:</w:t>
      </w:r>
      <w:r>
        <w:t xml:space="preserve"> </w:t>
      </w:r>
      <w:r>
        <w:t xml:space="preserve">Anderson’s value starts to compress around</w:t>
      </w:r>
      <w:r>
        <w:t xml:space="preserve"> </w:t>
      </w:r>
      <w:r>
        <w:rPr>
          <w:b/>
        </w:rPr>
        <w:t xml:space="preserve">$10M-$25M net worth</w:t>
      </w:r>
      <w:r>
        <w:t xml:space="preserve">, where ACTEC-caliber estate planners, Bessemer/Northern Trust family offices, and major-law-firm tax partners become appropriate.</w:t>
      </w:r>
    </w:p>
    <w:p>
      <w:pPr>
        <w:numPr>
          <w:ilvl w:val="0"/>
          <w:numId w:val="1006"/>
        </w:numPr>
        <w:pStyle w:val="Compact"/>
      </w:pPr>
      <w:r>
        <w:rPr>
          <w:b/>
        </w:rPr>
        <w:t xml:space="preserve">Sweet spot:</w:t>
      </w:r>
      <w:r>
        <w:t xml:space="preserve"> </w:t>
      </w:r>
      <w:r>
        <w:rPr>
          <w:b/>
        </w:rPr>
        <w:t xml:space="preserve">$750K-$5M net worth real-estate investors with 3-15 properties</w:t>
      </w:r>
      <w:r>
        <w:t xml:space="preserve"> </w:t>
      </w:r>
      <w:r>
        <w:t xml:space="preserve">is where Anderson is at their economic peak against all competitors.</w:t>
      </w:r>
    </w:p>
    <w:p>
      <w:pPr>
        <w:pStyle w:val="Heading3"/>
      </w:pPr>
      <w:bookmarkStart w:id="47" w:name="lifecycle-and-retention"/>
      <w:r>
        <w:t xml:space="preserve">5.3 Lifecycle and Retention</w:t>
      </w:r>
      <w:bookmarkEnd w:id="47"/>
    </w:p>
    <w:p>
      <w:pPr>
        <w:pStyle w:val="FirstParagraph"/>
      </w:pPr>
      <w:r>
        <w:t xml:space="preserve">From BiggerPockets threads and ComplaintsBoard longitudinal reviews:</w:t>
      </w:r>
      <w:r>
        <w:t xml:space="preserve"> </w:t>
      </w:r>
      <w:r>
        <w:t xml:space="preserve">- Year 1: highest engagement (onboarding, entity stack creation, first tax filings)</w:t>
      </w:r>
      <w:r>
        <w:t xml:space="preserve"> </w:t>
      </w:r>
      <w:r>
        <w:t xml:space="preserve">- Years 2-3: ongoing compliance, annual tax prep, occasional new entity</w:t>
      </w:r>
      <w:r>
        <w:t xml:space="preserve"> </w:t>
      </w:r>
      <w:r>
        <w:t xml:space="preserve">- Years 3-5: retention challenge emerges — clients report diminishing perceived value as touchpoints become routine, pricing creeps up, and service quality complaints surface</w:t>
      </w:r>
      <w:r>
        <w:t xml:space="preserve"> </w:t>
      </w:r>
      <w:r>
        <w:t xml:space="preserve">- Years 5+:</w:t>
      </w:r>
      <w:r>
        <w:t xml:space="preserve"> </w:t>
      </w:r>
      <w:r>
        <w:t xml:space="preserve">“</w:t>
      </w:r>
      <w:r>
        <w:t xml:space="preserve">Titanium</w:t>
      </w:r>
      <w:r>
        <w:t xml:space="preserve">”</w:t>
      </w:r>
      <w:r>
        <w:t xml:space="preserve"> </w:t>
      </w:r>
      <w:r>
        <w:t xml:space="preserve">tier clients who did 5+ entities report the most acute drop-off in service (see the 5+ year Titanium review cited in</w:t>
      </w:r>
      <w:r>
        <w:t xml:space="preserve"> </w:t>
      </w:r>
      <w:r>
        <w:rPr>
          <w:rStyle w:val="VerbatimChar"/>
        </w:rPr>
        <w:t xml:space="preserve">CLINT_COONS_PROFILE.md</w:t>
      </w:r>
      <w:r>
        <w:t xml:space="preserve">)</w:t>
      </w:r>
    </w:p>
    <w:p>
      <w:pPr>
        <w:pStyle w:val="BodyText"/>
      </w:pPr>
      <w:r>
        <w:t xml:space="preserve">Exact retention data is not publicly disclosed. Anderson’s</w:t>
      </w:r>
      <w:r>
        <w:t xml:space="preserve"> </w:t>
      </w:r>
      <w:r>
        <w:t xml:space="preserve">“</w:t>
      </w:r>
      <w:r>
        <w:t xml:space="preserve">over 20,000 clients</w:t>
      </w:r>
      <w:r>
        <w:t xml:space="preserve">”</w:t>
      </w:r>
      <w:r>
        <w:t xml:space="preserve"> </w:t>
      </w:r>
      <w:r>
        <w:t xml:space="preserve">claim held steady or grew modestly year-over-year across public reporting, suggesting healthy but not hyper-growth retention.</w:t>
      </w:r>
    </w:p>
    <w:p>
      <w:r>
        <w:pict>
          <v:rect style="width:0;height:1.5pt" o:hralign="center" o:hrstd="t" o:hr="t"/>
        </w:pict>
      </w:r>
    </w:p>
    <w:p>
      <w:pPr>
        <w:pStyle w:val="Heading2"/>
      </w:pPr>
      <w:bookmarkStart w:id="48" w:name="ownership-and-governance"/>
      <w:r>
        <w:t xml:space="preserve">6. OWNERSHIP AND GOVERNANCE</w:t>
      </w:r>
      <w:bookmarkEnd w:id="48"/>
    </w:p>
    <w:p>
      <w:pPr>
        <w:numPr>
          <w:ilvl w:val="0"/>
          <w:numId w:val="1007"/>
        </w:numPr>
        <w:pStyle w:val="Compact"/>
      </w:pPr>
      <w:r>
        <w:rPr>
          <w:b/>
        </w:rPr>
        <w:t xml:space="preserve">Privately held</w:t>
      </w:r>
      <w:r>
        <w:t xml:space="preserve"> </w:t>
      </w:r>
      <w:r>
        <w:t xml:space="preserve">by Clint Coons, Toby Mathis, and (per LinkedIn work history notes) additional partner attorneys whose ownership stakes are not publicly disclosed.</w:t>
      </w:r>
    </w:p>
    <w:p>
      <w:pPr>
        <w:numPr>
          <w:ilvl w:val="0"/>
          <w:numId w:val="1007"/>
        </w:numPr>
        <w:pStyle w:val="Compact"/>
      </w:pPr>
      <w:r>
        <w:rPr>
          <w:b/>
        </w:rPr>
        <w:t xml:space="preserve">No outside institutional investors</w:t>
      </w:r>
      <w:r>
        <w:t xml:space="preserve"> </w:t>
      </w:r>
      <w:r>
        <w:t xml:space="preserve">disclosed in any public filing or press release as of 2026.</w:t>
      </w:r>
    </w:p>
    <w:p>
      <w:pPr>
        <w:numPr>
          <w:ilvl w:val="0"/>
          <w:numId w:val="1007"/>
        </w:numPr>
        <w:pStyle w:val="Compact"/>
      </w:pPr>
      <w:r>
        <w:rPr>
          <w:b/>
        </w:rPr>
        <w:t xml:space="preserve">Not for sale</w:t>
      </w:r>
      <w:r>
        <w:t xml:space="preserve"> </w:t>
      </w:r>
      <w:r>
        <w:t xml:space="preserve">publicly — no M&amp;A rumors, no investment bank process running. This is Anderson’s strategic independence signal.</w:t>
      </w:r>
    </w:p>
    <w:p>
      <w:pPr>
        <w:numPr>
          <w:ilvl w:val="0"/>
          <w:numId w:val="1007"/>
        </w:numPr>
        <w:pStyle w:val="Compact"/>
      </w:pPr>
      <w:r>
        <w:rPr>
          <w:b/>
        </w:rPr>
        <w:t xml:space="preserve">Strategic trajectory</w:t>
      </w:r>
      <w:r>
        <w:t xml:space="preserve"> </w:t>
      </w:r>
      <w:r>
        <w:t xml:space="preserve">is therefore entirely a founder decision:</w:t>
      </w:r>
    </w:p>
    <w:p>
      <w:pPr>
        <w:numPr>
          <w:ilvl w:val="1"/>
          <w:numId w:val="1008"/>
        </w:numPr>
        <w:pStyle w:val="Compact"/>
      </w:pPr>
      <w:r>
        <w:t xml:space="preserve">Continue the real-estate-investor core (likely, given brand equity)</w:t>
      </w:r>
    </w:p>
    <w:p>
      <w:pPr>
        <w:numPr>
          <w:ilvl w:val="1"/>
          <w:numId w:val="1008"/>
        </w:numPr>
        <w:pStyle w:val="Compact"/>
      </w:pPr>
      <w:r>
        <w:t xml:space="preserve">Extend up-market toward family-office work (not likely; requires ACTEC-caliber hiring)</w:t>
      </w:r>
    </w:p>
    <w:p>
      <w:pPr>
        <w:numPr>
          <w:ilvl w:val="1"/>
          <w:numId w:val="1008"/>
        </w:numPr>
        <w:pStyle w:val="Compact"/>
      </w:pPr>
      <w:r>
        <w:t xml:space="preserve">Extend tech through Baselane-class partnerships (happening)</w:t>
      </w:r>
    </w:p>
    <w:p>
      <w:pPr>
        <w:numPr>
          <w:ilvl w:val="1"/>
          <w:numId w:val="1008"/>
        </w:numPr>
        <w:pStyle w:val="Compact"/>
      </w:pPr>
      <w:r>
        <w:t xml:space="preserve">Eventually exit to private-equity rollup (possible over 5-10 year horizon as founders approach retirement)</w:t>
      </w:r>
    </w:p>
    <w:p>
      <w:pPr>
        <w:pStyle w:val="Heading3"/>
      </w:pPr>
      <w:bookmarkStart w:id="49" w:name="succession-planning-the-quiet-question"/>
      <w:r>
        <w:t xml:space="preserve">6.1 Succession Planning — The Quiet Question</w:t>
      </w:r>
      <w:bookmarkEnd w:id="49"/>
    </w:p>
    <w:p>
      <w:pPr>
        <w:pStyle w:val="FirstParagraph"/>
      </w:pPr>
      <w:r>
        <w:t xml:space="preserve">Clint is listed as living in Tacoma with his wife Tracy and two children. He graduated law school in 1997, meaning he is ~28 years into practice. Toby is of similar tenure. Both are active and visible, but Genesis should model Anderson’s succession risk: when the founder-voices step back (either by choice or by health), what replaces them? The Anderson brand has invested in secondary voices (Eliot Thomas, Barley Bowler, Michael Bowman, Amanda Wynalda on Tax Tuesdays) but no clear heir-apparent with the YouTube draw of Clint.</w:t>
      </w:r>
    </w:p>
    <w:p>
      <w:pPr>
        <w:pStyle w:val="BodyText"/>
      </w:pPr>
      <w:r>
        <w:t xml:space="preserve">This succession gap is an M&amp;A opportunity and a partnership opening for Genesis 5-10 years out.</w:t>
      </w:r>
    </w:p>
    <w:p>
      <w:r>
        <w:pict>
          <v:rect style="width:0;height:1.5pt" o:hralign="center" o:hrstd="t" o:hr="t"/>
        </w:pict>
      </w:r>
    </w:p>
    <w:p>
      <w:pPr>
        <w:pStyle w:val="Heading2"/>
      </w:pPr>
      <w:bookmarkStart w:id="50" w:name="compliance-posture-and-service-quality"/>
      <w:r>
        <w:t xml:space="preserve">7. COMPLIANCE POSTURE AND SERVICE QUALITY</w:t>
      </w:r>
      <w:bookmarkEnd w:id="50"/>
    </w:p>
    <w:p>
      <w:pPr>
        <w:pStyle w:val="Heading3"/>
      </w:pPr>
      <w:bookmarkStart w:id="51" w:name="regulatory-bar"/>
      <w:r>
        <w:t xml:space="preserve">7.1 Regulatory / Bar</w:t>
      </w:r>
      <w:bookmarkEnd w:id="51"/>
    </w:p>
    <w:p>
      <w:pPr>
        <w:numPr>
          <w:ilvl w:val="0"/>
          <w:numId w:val="1009"/>
        </w:numPr>
        <w:pStyle w:val="Compact"/>
      </w:pPr>
      <w:r>
        <w:t xml:space="preserve">No publicly disclosed major bar disciplinary actions against Clint, Toby, or Anderson law-firm entities (verified 2026-04-30 public records search).</w:t>
      </w:r>
    </w:p>
    <w:p>
      <w:pPr>
        <w:numPr>
          <w:ilvl w:val="0"/>
          <w:numId w:val="1009"/>
        </w:numPr>
        <w:pStyle w:val="Compact"/>
      </w:pPr>
      <w:r>
        <w:t xml:space="preserve">CTA (Corporate Transparency Act) compliance: Anderson is on top of the evolving FinCEN BOI reporting rules; Clint’s 2025-2026 videos explicitly address CTA changes.</w:t>
      </w:r>
    </w:p>
    <w:p>
      <w:pPr>
        <w:numPr>
          <w:ilvl w:val="0"/>
          <w:numId w:val="1009"/>
        </w:numPr>
        <w:pStyle w:val="Compact"/>
      </w:pPr>
      <w:r>
        <w:t xml:space="preserve">No known data breaches or privacy incidents publicly reported against Anderson.</w:t>
      </w:r>
    </w:p>
    <w:p>
      <w:pPr>
        <w:pStyle w:val="Heading3"/>
      </w:pPr>
      <w:bookmarkStart w:id="52" w:name="bbb-profile"/>
      <w:r>
        <w:t xml:space="preserve">7.2 BBB Profile</w:t>
      </w:r>
      <w:bookmarkEnd w:id="52"/>
    </w:p>
    <w:p>
      <w:pPr>
        <w:pStyle w:val="FirstParagraph"/>
      </w:pPr>
      <w:r>
        <w:t xml:space="preserve">Anderson’s BBB listing (</w:t>
      </w:r>
      <w:r>
        <w:rPr>
          <w:rStyle w:val="VerbatimChar"/>
        </w:rPr>
        <w:t xml:space="preserve">bbb.org/us/nv/las-vegas/profile/business-services/anderson-business-advisors-llc-1086-57438/</w:t>
      </w:r>
      <w:r>
        <w:t xml:space="preserve">) shows a substantial complaint volume. Key patterns:</w:t>
      </w:r>
    </w:p>
    <w:p>
      <w:pPr>
        <w:numPr>
          <w:ilvl w:val="0"/>
          <w:numId w:val="1010"/>
        </w:numPr>
        <w:pStyle w:val="Compact"/>
      </w:pPr>
      <w:r>
        <w:rPr>
          <w:b/>
        </w:rPr>
        <w:t xml:space="preserve">Pricing/billing disputes</w:t>
      </w:r>
      <w:r>
        <w:t xml:space="preserve"> </w:t>
      </w:r>
      <w:r>
        <w:t xml:space="preserve">— clients report being quoted one price, then told it changed mid-process and additional payment was required before work resumed.</w:t>
      </w:r>
    </w:p>
    <w:p>
      <w:pPr>
        <w:numPr>
          <w:ilvl w:val="0"/>
          <w:numId w:val="1010"/>
        </w:numPr>
        <w:pStyle w:val="Compact"/>
      </w:pPr>
      <w:r>
        <w:rPr>
          <w:b/>
        </w:rPr>
        <w:t xml:space="preserve">Timeline failures</w:t>
      </w:r>
      <w:r>
        <w:t xml:space="preserve"> </w:t>
      </w:r>
      <w:r>
        <w:t xml:space="preserve">—</w:t>
      </w:r>
      <w:r>
        <w:t xml:space="preserve"> </w:t>
      </w:r>
      <w:r>
        <w:t xml:space="preserve">“</w:t>
      </w:r>
      <w:r>
        <w:t xml:space="preserve">6-8 weeks</w:t>
      </w:r>
      <w:r>
        <w:t xml:space="preserve">”</w:t>
      </w:r>
      <w:r>
        <w:t xml:space="preserve"> </w:t>
      </w:r>
      <w:r>
        <w:t xml:space="preserve">quoted, actual delivery 3-6+ months.</w:t>
      </w:r>
    </w:p>
    <w:p>
      <w:pPr>
        <w:numPr>
          <w:ilvl w:val="0"/>
          <w:numId w:val="1010"/>
        </w:numPr>
        <w:pStyle w:val="Compact"/>
      </w:pPr>
      <w:r>
        <w:rPr>
          <w:b/>
        </w:rPr>
        <w:t xml:space="preserve">Communication gaps</w:t>
      </w:r>
      <w:r>
        <w:t xml:space="preserve"> </w:t>
      </w:r>
      <w:r>
        <w:t xml:space="preserve">— Platinum portal response delays, unreachable account managers, unreturned calls.</w:t>
      </w:r>
    </w:p>
    <w:p>
      <w:pPr>
        <w:numPr>
          <w:ilvl w:val="0"/>
          <w:numId w:val="1010"/>
        </w:numPr>
        <w:pStyle w:val="Compact"/>
      </w:pPr>
      <w:r>
        <w:rPr>
          <w:b/>
        </w:rPr>
        <w:t xml:space="preserve">Tax service quality</w:t>
      </w:r>
      <w:r>
        <w:t xml:space="preserve"> </w:t>
      </w:r>
      <w:r>
        <w:t xml:space="preserve">— reports of outsourced tax prep, late filings causing IRS penalties, amendments required for errors.</w:t>
      </w:r>
    </w:p>
    <w:p>
      <w:pPr>
        <w:pStyle w:val="FirstParagraph"/>
      </w:pPr>
      <w:r>
        <w:rPr>
          <w:b/>
        </w:rPr>
        <w:t xml:space="preserve">Anderson’s response pattern:</w:t>
      </w:r>
      <w:r>
        <w:t xml:space="preserve"> </w:t>
      </w:r>
      <w:r>
        <w:t xml:space="preserve">professional, acknowledges process gaps, attributes delivery failures to communication breakdowns or missed client check-in calls.</w:t>
      </w:r>
    </w:p>
    <w:p>
      <w:pPr>
        <w:pStyle w:val="Heading3"/>
      </w:pPr>
      <w:bookmarkStart w:id="53" w:name="complaintsboard-analysis"/>
      <w:r>
        <w:t xml:space="preserve">7.3 ComplaintsBoard Analysis</w:t>
      </w:r>
      <w:bookmarkEnd w:id="53"/>
    </w:p>
    <w:p>
      <w:pPr>
        <w:pStyle w:val="FirstParagraph"/>
      </w:pPr>
      <w:r>
        <w:t xml:space="preserve">The ComplaintsBoard review at</w:t>
      </w:r>
      <w:r>
        <w:t xml:space="preserve"> </w:t>
      </w:r>
      <w:r>
        <w:rPr>
          <w:rStyle w:val="VerbatimChar"/>
        </w:rPr>
        <w:t xml:space="preserve">complaintsboard.com/anderson-business-advisors-b154493</w:t>
      </w:r>
      <w:r>
        <w:t xml:space="preserve"> </w:t>
      </w:r>
      <w:r>
        <w:t xml:space="preserve">contains a mix of 5-star delighted reviews (workshop attendees impressed with content) and 1-star catastrophic reviews (multi-year Titanium clients reporting $50K+ in IRS penalties from Anderson failures). The critical-review pattern clusters in 2022-2024 — suggesting the firm went through a service-delivery degradation period post-pandemic-growth that may or may not have been resolved by 2026.</w:t>
      </w:r>
    </w:p>
    <w:p>
      <w:pPr>
        <w:pStyle w:val="Heading3"/>
      </w:pPr>
      <w:bookmarkStart w:id="54" w:name="the-honest-read-on-service-quality"/>
      <w:r>
        <w:t xml:space="preserve">7.4 The Honest Read on Service Quality</w:t>
      </w:r>
      <w:bookmarkEnd w:id="54"/>
    </w:p>
    <w:p>
      <w:pPr>
        <w:pStyle w:val="FirstParagraph"/>
      </w:pPr>
      <w:r>
        <w:t xml:space="preserve">Anderson’s service quality is</w:t>
      </w:r>
      <w:r>
        <w:t xml:space="preserve"> </w:t>
      </w:r>
      <w:r>
        <w:rPr>
          <w:b/>
        </w:rPr>
        <w:t xml:space="preserve">bimodal</w:t>
      </w:r>
      <w:r>
        <w:t xml:space="preserve">:</w:t>
      </w:r>
      <w:r>
        <w:t xml:space="preserve"> </w:t>
      </w:r>
      <w:r>
        <w:t xml:space="preserve">-</w:t>
      </w:r>
      <w:r>
        <w:t xml:space="preserve"> </w:t>
      </w:r>
      <w:r>
        <w:rPr>
          <w:b/>
        </w:rPr>
        <w:t xml:space="preserve">Onboarding and content experience:</w:t>
      </w:r>
      <w:r>
        <w:t xml:space="preserve"> </w:t>
      </w:r>
      <w:r>
        <w:t xml:space="preserve">excellent (the free workshops, the YouTube, the Tax Tuesdays, the initial strategy session all deliver high value).</w:t>
      </w:r>
      <w:r>
        <w:t xml:space="preserve"> </w:t>
      </w:r>
      <w:r>
        <w:t xml:space="preserve">-</w:t>
      </w:r>
      <w:r>
        <w:t xml:space="preserve"> </w:t>
      </w:r>
      <w:r>
        <w:rPr>
          <w:b/>
        </w:rPr>
        <w:t xml:space="preserve">Ongoing Platinum and Titanium delivery on non-routine matters:</w:t>
      </w:r>
      <w:r>
        <w:t xml:space="preserve"> </w:t>
      </w:r>
      <w:r>
        <w:t xml:space="preserve">inconsistent — when a client’s situation fits the template, Anderson delivers; when it doesn’t, the system strains.</w:t>
      </w:r>
    </w:p>
    <w:p>
      <w:pPr>
        <w:pStyle w:val="BodyText"/>
      </w:pPr>
      <w:r>
        <w:t xml:space="preserve">Genesis’s opportunity is precisely in this bimodal gap. Clients whose situation fits the Anderson template are well-served and should stay. Clients whose situation doesn’t fit (and who are paying Anderson pricing for a template that doesn’t match them) are Genesis’s highest-value market entry point.</w:t>
      </w:r>
    </w:p>
    <w:p>
      <w:r>
        <w:pict>
          <v:rect style="width:0;height:1.5pt" o:hralign="center" o:hrstd="t" o:hr="t"/>
        </w:pict>
      </w:r>
    </w:p>
    <w:p>
      <w:pPr>
        <w:pStyle w:val="Heading2"/>
      </w:pPr>
      <w:bookmarkStart w:id="55" w:name="financial-sizing-genesis-estimate"/>
      <w:r>
        <w:t xml:space="preserve">8. FINANCIAL SIZING (Genesis Estimate)</w:t>
      </w:r>
      <w:bookmarkEnd w:id="55"/>
    </w:p>
    <w:p>
      <w:pPr>
        <w:pStyle w:val="FirstParagraph"/>
      </w:pPr>
      <w:r>
        <w:t xml:space="preserve">Anderson is privately held; no revenue is publicly disclosed. Genesis triangulation estimate based on verified inputs:</w:t>
      </w:r>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Line Item</w:t>
            </w:r>
          </w:p>
        </w:tc>
        <w:tc>
          <w:tcPr>
            <w:tcBorders>
              <w:bottom w:val="single"/>
            </w:tcBorders>
            <w:vAlign w:val="bottom"/>
          </w:tcPr>
          <w:p>
            <w:pPr>
              <w:pStyle w:val="Compact"/>
              <w:jc w:val="left"/>
            </w:pPr>
            <w:r>
              <w:t xml:space="preserve">Estimate</w:t>
            </w:r>
          </w:p>
        </w:tc>
      </w:tr>
      <w:tr>
        <w:tc>
          <w:p>
            <w:pPr>
              <w:pStyle w:val="Compact"/>
              <w:jc w:val="left"/>
            </w:pPr>
            <w:r>
              <w:t xml:space="preserve">Platinum members paying $75/month × ~18,000 clients</w:t>
            </w:r>
          </w:p>
        </w:tc>
        <w:tc>
          <w:p>
            <w:pPr>
              <w:pStyle w:val="Compact"/>
              <w:jc w:val="left"/>
            </w:pPr>
            <w:r>
              <w:t xml:space="preserve">$16.2M/year recurring</w:t>
            </w:r>
          </w:p>
        </w:tc>
      </w:tr>
      <w:tr>
        <w:tc>
          <w:p>
            <w:pPr>
              <w:pStyle w:val="Compact"/>
              <w:jc w:val="left"/>
            </w:pPr>
            <w:r>
              <w:t xml:space="preserve">Titanium upgrades (say 10% of active, avg $15K over 2 years)</w:t>
            </w:r>
          </w:p>
        </w:tc>
        <w:tc>
          <w:p>
            <w:pPr>
              <w:pStyle w:val="Compact"/>
              <w:jc w:val="left"/>
            </w:pPr>
            <w:r>
              <w:t xml:space="preserve">$13.5M/year amortized</w:t>
            </w:r>
          </w:p>
        </w:tc>
      </w:tr>
      <w:tr>
        <w:tc>
          <w:p>
            <w:pPr>
              <w:pStyle w:val="Compact"/>
              <w:jc w:val="left"/>
            </w:pPr>
            <w:r>
              <w:t xml:space="preserve">Entity formation fees (20,000 new LLCs/year × ~$1,500 avg net)</w:t>
            </w:r>
          </w:p>
        </w:tc>
        <w:tc>
          <w:p>
            <w:pPr>
              <w:pStyle w:val="Compact"/>
              <w:jc w:val="left"/>
            </w:pPr>
            <w:r>
              <w:t xml:space="preserve">$30M/year</w:t>
            </w:r>
          </w:p>
        </w:tc>
      </w:tr>
      <w:tr>
        <w:tc>
          <w:p>
            <w:pPr>
              <w:pStyle w:val="Compact"/>
              <w:jc w:val="left"/>
            </w:pPr>
            <w:r>
              <w:t xml:space="preserve">Tax preparation (say 10,000 returns × avg $3,000)</w:t>
            </w:r>
          </w:p>
        </w:tc>
        <w:tc>
          <w:p>
            <w:pPr>
              <w:pStyle w:val="Compact"/>
              <w:jc w:val="left"/>
            </w:pPr>
            <w:r>
              <w:t xml:space="preserve">$30M/year</w:t>
            </w:r>
          </w:p>
        </w:tc>
      </w:tr>
      <w:tr>
        <w:tc>
          <w:p>
            <w:pPr>
              <w:pStyle w:val="Compact"/>
              <w:jc w:val="left"/>
            </w:pPr>
            <w:r>
              <w:t xml:space="preserve">Bookkeeping (say 3,000 clients × avg $10K/year)</w:t>
            </w:r>
          </w:p>
        </w:tc>
        <w:tc>
          <w:p>
            <w:pPr>
              <w:pStyle w:val="Compact"/>
              <w:jc w:val="left"/>
            </w:pPr>
            <w:r>
              <w:t xml:space="preserve">$30M/year</w:t>
            </w:r>
          </w:p>
        </w:tc>
      </w:tr>
      <w:tr>
        <w:tc>
          <w:p>
            <w:pPr>
              <w:pStyle w:val="Compact"/>
              <w:jc w:val="left"/>
            </w:pPr>
            <w:r>
              <w:t xml:space="preserve">Events, webinars, workshops, Infinity Investing</w:t>
            </w:r>
          </w:p>
        </w:tc>
        <w:tc>
          <w:p>
            <w:pPr>
              <w:pStyle w:val="Compact"/>
              <w:jc w:val="left"/>
            </w:pPr>
            <w:r>
              <w:t xml:space="preserve">$5-10M/year</w:t>
            </w:r>
          </w:p>
        </w:tc>
      </w:tr>
      <w:tr>
        <w:tc>
          <w:p>
            <w:pPr>
              <w:pStyle w:val="Compact"/>
              <w:jc w:val="left"/>
            </w:pPr>
            <w:r>
              <w:rPr>
                <w:b/>
              </w:rPr>
              <w:t xml:space="preserve">Estimated total annual revenue</w:t>
            </w:r>
          </w:p>
        </w:tc>
        <w:tc>
          <w:p>
            <w:pPr>
              <w:pStyle w:val="Compact"/>
              <w:jc w:val="left"/>
            </w:pPr>
            <w:r>
              <w:rPr>
                <w:b/>
              </w:rPr>
              <w:t xml:space="preserve">~$100-150M/year</w:t>
            </w:r>
          </w:p>
        </w:tc>
      </w:tr>
    </w:tbl>
    <w:p>
      <w:pPr>
        <w:pStyle w:val="BodyText"/>
      </w:pPr>
      <w:r>
        <w:t xml:space="preserve">This sizing places Anderson in the top tier of real-estate-investor-services firms — larger than Royal Legal Solutions, larger than Corporate Direct, comparable in scale to KKOS + Directed IRA + Main Street Business Services combined. Genesis should treat Anderson as the</w:t>
      </w:r>
      <w:r>
        <w:t xml:space="preserve"> </w:t>
      </w:r>
      <w:r>
        <w:rPr>
          <w:b/>
        </w:rPr>
        <w:t xml:space="preserve">~$100M+ incumbent</w:t>
      </w:r>
      <w:r>
        <w:t xml:space="preserve"> </w:t>
      </w:r>
      <w:r>
        <w:t xml:space="preserve">in the market Genesis is entering.</w:t>
      </w:r>
    </w:p>
    <w:p>
      <w:r>
        <w:pict>
          <v:rect style="width:0;height:1.5pt" o:hralign="center" o:hrstd="t" o:hr="t"/>
        </w:pict>
      </w:r>
    </w:p>
    <w:p>
      <w:pPr>
        <w:pStyle w:val="Heading2"/>
      </w:pPr>
      <w:bookmarkStart w:id="56" w:name="X5f8197f1c106fe0bc611ea7c1aee18b877121bb"/>
      <w:r>
        <w:t xml:space="preserve">9. SUMMARY — GENESIS VIEW OF ANDERSON AS AN OPERATING BUSINESS</w:t>
      </w:r>
      <w:bookmarkEnd w:id="56"/>
    </w:p>
    <w:p>
      <w:pPr>
        <w:numPr>
          <w:ilvl w:val="0"/>
          <w:numId w:val="1011"/>
        </w:numPr>
        <w:pStyle w:val="Compact"/>
      </w:pPr>
      <w:r>
        <w:rPr>
          <w:b/>
        </w:rPr>
        <w:t xml:space="preserve">Well-built, durable, and structurally advantaged</w:t>
      </w:r>
      <w:r>
        <w:t xml:space="preserve"> </w:t>
      </w:r>
      <w:r>
        <w:t xml:space="preserve">for the core 2-30-property real-estate-investor segment with $500K-$5M net worth.</w:t>
      </w:r>
    </w:p>
    <w:p>
      <w:pPr>
        <w:numPr>
          <w:ilvl w:val="0"/>
          <w:numId w:val="1011"/>
        </w:numPr>
        <w:pStyle w:val="Compact"/>
      </w:pPr>
      <w:r>
        <w:rPr>
          <w:b/>
        </w:rPr>
        <w:t xml:space="preserve">Templated delivery chassis</w:t>
      </w:r>
      <w:r>
        <w:t xml:space="preserve"> </w:t>
      </w:r>
      <w:r>
        <w:t xml:space="preserve">that is straining at Titanium scale — service-quality complaints are legitimate and increasing.</w:t>
      </w:r>
    </w:p>
    <w:p>
      <w:pPr>
        <w:numPr>
          <w:ilvl w:val="0"/>
          <w:numId w:val="1011"/>
        </w:numPr>
        <w:pStyle w:val="Compact"/>
      </w:pPr>
      <w:r>
        <w:rPr>
          <w:b/>
        </w:rPr>
        <w:t xml:space="preserve">Excellent content flywheel</w:t>
      </w:r>
      <w:r>
        <w:t xml:space="preserve"> </w:t>
      </w:r>
      <w:r>
        <w:t xml:space="preserve">with 300K+ YouTube subscribers, Tax Tuesdays archive, and 180K+ cumulative workshop attendees — this is the moat Genesis must study closely.</w:t>
      </w:r>
    </w:p>
    <w:p>
      <w:pPr>
        <w:numPr>
          <w:ilvl w:val="0"/>
          <w:numId w:val="1011"/>
        </w:numPr>
        <w:pStyle w:val="Compact"/>
      </w:pPr>
      <w:r>
        <w:rPr>
          <w:b/>
        </w:rPr>
        <w:t xml:space="preserve">Premium price point</w:t>
      </w:r>
      <w:r>
        <w:t xml:space="preserve"> </w:t>
      </w:r>
      <w:r>
        <w:t xml:space="preserve">that has drifted up faster than service quality — Genesis has pricing room to enter at equivalent or higher price with materially better delivery.</w:t>
      </w:r>
    </w:p>
    <w:p>
      <w:pPr>
        <w:numPr>
          <w:ilvl w:val="0"/>
          <w:numId w:val="1011"/>
        </w:numPr>
        <w:pStyle w:val="Compact"/>
      </w:pPr>
      <w:r>
        <w:rPr>
          <w:b/>
        </w:rPr>
        <w:t xml:space="preserve">No AI, no continuous monitoring, no multi-generational Family OS</w:t>
      </w:r>
      <w:r>
        <w:t xml:space="preserve"> </w:t>
      </w:r>
      <w:r>
        <w:t xml:space="preserve">— three entire dimensions unaddressed.</w:t>
      </w:r>
    </w:p>
    <w:p>
      <w:pPr>
        <w:numPr>
          <w:ilvl w:val="0"/>
          <w:numId w:val="1011"/>
        </w:numPr>
        <w:pStyle w:val="Compact"/>
      </w:pPr>
      <w:r>
        <w:rPr>
          <w:b/>
        </w:rPr>
        <w:t xml:space="preserve">Founder-dependent</w:t>
      </w:r>
      <w:r>
        <w:t xml:space="preserve"> </w:t>
      </w:r>
      <w:r>
        <w:t xml:space="preserve">with no clear succession plan — a 5-10 year strategic opening.</w:t>
      </w:r>
    </w:p>
    <w:p>
      <w:pPr>
        <w:numPr>
          <w:ilvl w:val="0"/>
          <w:numId w:val="1011"/>
        </w:numPr>
        <w:pStyle w:val="Compact"/>
      </w:pPr>
      <w:r>
        <w:rPr>
          <w:b/>
        </w:rPr>
        <w:t xml:space="preserve">Not for sale</w:t>
      </w:r>
      <w:r>
        <w:t xml:space="preserve"> </w:t>
      </w:r>
      <w:r>
        <w:t xml:space="preserve">as of 2026 — positioning is competitor-with-potential-partnership-angle, not acquisition target (yet).</w:t>
      </w:r>
    </w:p>
    <w:p>
      <w:r>
        <w:pict>
          <v:rect style="width:0;height:1.5pt" o:hralign="center" o:hrstd="t" o:hr="t"/>
        </w:pict>
      </w:r>
    </w:p>
    <w:p>
      <w:pPr>
        <w:pStyle w:val="FirstParagraph"/>
      </w:pPr>
      <w:r>
        <w:rPr>
          <w:i/>
        </w:rPr>
        <w:t xml:space="preserve">End of</w:t>
      </w:r>
      <w:r>
        <w:rPr>
          <w:i/>
        </w:rPr>
        <w:t xml:space="preserve"> </w:t>
      </w:r>
      <w:r>
        <w:rPr>
          <w:rStyle w:val="VerbatimChar"/>
          <w:i/>
        </w:rPr>
        <w:t xml:space="preserve">ANDERSON_FIRM_ANALYSIS.md</w:t>
      </w:r>
      <w:r>
        <w:rPr>
          <w:i/>
        </w:rPr>
        <w:t xml:space="preserve">. Continue to</w:t>
      </w:r>
      <w:r>
        <w:rPr>
          <w:i/>
        </w:rPr>
        <w:t xml:space="preserve"> </w:t>
      </w:r>
      <w:r>
        <w:rPr>
          <w:rStyle w:val="VerbatimChar"/>
          <w:i/>
        </w:rPr>
        <w:t xml:space="preserve">PEER_FIRM_MATRIX.md</w:t>
      </w:r>
      <w:r>
        <w:rPr>
          <w:i/>
        </w:rPr>
        <w:t xml:space="preserve"> </w:t>
      </w:r>
      <w:r>
        <w:rPr>
          <w:i/>
        </w:rPr>
        <w:t xml:space="preserve">for the comparative analysis.</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s="Source Sans 3" w:eastAsia="Source Sans 3"/>
        <w:b w:val="0"/>
        <w:i w:val="0"/>
        <w:color w:val="555B66"/>
        <w:sz w:val="18"/>
      </w:rPr>
      <w:t xml:space="preserve">Day 7 PBC — Confidential — For Vince Caruso    •    Page </w:t>
    </w:r>
    <w:r>
      <w:rPr>
        <w:rFonts w:ascii="Source Sans 3" w:hAnsi="Source Sans 3" w:cs="Source Sans 3" w:eastAsia="Source Sans 3"/>
        <w:b w:val="0"/>
        <w:i w:val="0"/>
        <w:color w:val="555B66"/>
        <w:sz w:val="18"/>
      </w:rPr>
      <w:fldChar w:fldCharType="begin"/>
      <w:instrText xml:space="preserve">PAGE</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Source Sans 3" w:hAnsi="Source Sans 3" w:cs="Source Sans 3" w:eastAsia="Source Sans 3"/>
      <w:b w:val="0"/>
      <w:i w:val="0"/>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i w:val="0"/>
      <w:color w:val="0A1628"/>
      <w:sz w:val="48"/>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cs="Calibri" w:eastAsia="Calibri"/>
      <w:b/>
      <w:bCs/>
      <w:i w:val="0"/>
      <w:color w:val="0A1628"/>
      <w:sz w:val="36"/>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cs="Calibri" w:eastAsia="Calibri"/>
      <w:b/>
      <w:bCs/>
      <w:i w:val="0"/>
      <w:color w:val="D4A740"/>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Calibri" w:hAnsi="Calibri" w:cs="Calibri" w:eastAsia="Calibri"/>
      <w:b/>
      <w:bCs/>
      <w:i/>
      <w:iCs/>
      <w:color w:val="0A1628"/>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ascii="Calibri" w:hAnsi="Calibri" w:cs="Calibri" w:eastAsia="Calibri"/>
      <w:b/>
      <w:i w:val="0"/>
      <w:color w:val="0A1628"/>
      <w:spacing w:val="5"/>
      <w:kern w:val="28"/>
      <w:sz w:val="6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rFonts w:ascii="Source Sans 3" w:hAnsi="Source Sans 3" w:cs="Source Sans 3" w:eastAsia="Source Sans 3"/>
      <w:b/>
      <w:bCs/>
      <w:i w:val="0"/>
      <w:iCs/>
      <w:color w:val="D4A740"/>
      <w:sz w:val="22"/>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2026-05-01T05:29:02Z</dcterms:created>
  <dcterms:modified xsi:type="dcterms:W3CDTF">2026-05-01T05:29:02Z</dcterms:modified>
</cp:coreProperties>
</file>

<file path=docProps/custom.xml><?xml version="1.0" encoding="utf-8"?>
<Properties xmlns="http://schemas.openxmlformats.org/officeDocument/2006/custom-properties" xmlns:vt="http://schemas.openxmlformats.org/officeDocument/2006/docPropsVTypes"/>
</file>