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3325d990819f6474615dd92d9312595549d93cc"/>
      <w:r>
        <w:t xml:space="preserve">ESTATE PLANNING &amp; ASSET PROTECTION PACKAGE OFFERING</w:t>
      </w:r>
      <w:bookmarkEnd w:id="20"/>
    </w:p>
    <w:p>
      <w:pPr>
        <w:pStyle w:val="Heading2"/>
      </w:pPr>
      <w:bookmarkStart w:id="21" w:name="Xcc98a2614bf3b42397a2ea5601a458bc05f96e5"/>
      <w:r>
        <w:t xml:space="preserve">Vince Caruso Consulting + Shawn Olson, Esq. + Genesis AI</w:t>
      </w:r>
      <w:bookmarkEnd w:id="21"/>
    </w:p>
    <w:p>
      <w:pPr>
        <w:pStyle w:val="FirstParagraph"/>
      </w:pPr>
      <w:r>
        <w:rPr>
          <w:b/>
        </w:rPr>
        <w:t xml:space="preserve">Prepared:</w:t>
      </w:r>
      <w:r>
        <w:t xml:space="preserve"> </w:t>
      </w:r>
      <w:r>
        <w:t xml:space="preserve">Session 1233</w:t>
      </w:r>
      <w:r>
        <w:t xml:space="preserve"> </w:t>
      </w:r>
      <w:r>
        <w:rPr>
          <w:b/>
        </w:rPr>
        <w:t xml:space="preserve">Target market:</w:t>
      </w:r>
      <w:r>
        <w:t xml:space="preserve"> </w:t>
      </w:r>
      <w:r>
        <w:t xml:space="preserve">Huntington Beach, Orange County, Southern California</w:t>
      </w:r>
      <w:r>
        <w:t xml:space="preserve"> </w:t>
      </w:r>
      <w:r>
        <w:rPr>
          <w:b/>
        </w:rPr>
        <w:t xml:space="preserve">Delivery model:</w:t>
      </w:r>
      <w:r>
        <w:t xml:space="preserve"> </w:t>
      </w:r>
      <w:r>
        <w:t xml:space="preserve">Three-tier productized service menu — Vince originates and manages the relationship; Genesis AI performs the research and drafting work; Shawn Olson (the supervising attorney of record on Prince Drive, Huntington Beach) reviews and signs every legal instrument. Separate engagement letters preserve California Rule of Professional Conduct 5.4 compliance. See the companion</w:t>
      </w:r>
      <w:r>
        <w:t xml:space="preserve"> </w:t>
      </w:r>
      <w:r>
        <w:rPr>
          <w:rStyle w:val="VerbatimChar"/>
        </w:rPr>
        <w:t xml:space="preserve">UPL_COMPLIANCE_FRAMEWORK.md</w:t>
      </w:r>
      <w:r>
        <w:t xml:space="preserve"> </w:t>
      </w:r>
      <w:r>
        <w:t xml:space="preserve">for the statutory architecture.</w:t>
      </w:r>
    </w:p>
    <w:p>
      <w:r>
        <w:pict>
          <v:rect style="width:0;height:1.5pt" o:hralign="center" o:hrstd="t" o:hr="t"/>
        </w:pict>
      </w:r>
    </w:p>
    <w:p>
      <w:pPr>
        <w:pStyle w:val="Heading2"/>
      </w:pPr>
      <w:bookmarkStart w:id="22" w:name="why-this-offering-exists"/>
      <w:r>
        <w:t xml:space="preserve">WHY THIS OFFERING EXISTS</w:t>
      </w:r>
      <w:bookmarkEnd w:id="22"/>
    </w:p>
    <w:p>
      <w:pPr>
        <w:pStyle w:val="FirstParagraph"/>
      </w:pPr>
      <w:r>
        <w:t xml:space="preserve">Vince was approached by the paralegals at a local California estate-planning attorney’s office. The paralegals are getting calls on estate planning and asset protection that their own attorney</w:t>
      </w:r>
      <w:r>
        <w:t xml:space="preserve"> </w:t>
      </w:r>
      <w:r>
        <w:t xml:space="preserve">“</w:t>
      </w:r>
      <w:r>
        <w:t xml:space="preserve">hasn’t pursued</w:t>
      </w:r>
      <w:r>
        <w:t xml:space="preserve">”</w:t>
      </w:r>
      <w:r>
        <w:t xml:space="preserve"> </w:t>
      </w:r>
      <w:r>
        <w:t xml:space="preserve">— the client demand is there, the supervising attorney isn’t taking it. They offered to route the work to Vince.</w:t>
      </w:r>
    </w:p>
    <w:p>
      <w:pPr>
        <w:pStyle w:val="BodyText"/>
      </w:pPr>
      <w:r>
        <w:t xml:space="preserve">California is the most litigious state in the United States. Its probate fee schedule under Cal. Prob. Code §§ 10800–10814 lets the probate industry claim 4–8% of the gross estate before a single heir is paid. AB 1885 (2021) rewrote the homestead exemption. Proposition 19 (2021) blew up the parent-child reassessment exclusion. The federal estate-tax exemption is on a glide path to drop roughly in half on January 1, 2026. The clients who need proper planning are the ones most harmed by the current</w:t>
      </w:r>
      <w:r>
        <w:t xml:space="preserve"> </w:t>
      </w:r>
      <w:r>
        <w:t xml:space="preserve">“</w:t>
      </w:r>
      <w:r>
        <w:t xml:space="preserve">fill out a LegalZoom form</w:t>
      </w:r>
      <w:r>
        <w:t xml:space="preserve">”</w:t>
      </w:r>
      <w:r>
        <w:t xml:space="preserve"> </w:t>
      </w:r>
      <w:r>
        <w:t xml:space="preserve">or</w:t>
      </w:r>
      <w:r>
        <w:t xml:space="preserve"> </w:t>
      </w:r>
      <w:r>
        <w:t xml:space="preserve">“</w:t>
      </w:r>
      <w:r>
        <w:t xml:space="preserve">pay a partner $600/hour for a trust they’ll never fund</w:t>
      </w:r>
      <w:r>
        <w:t xml:space="preserve">”</w:t>
      </w:r>
      <w:r>
        <w:t xml:space="preserve"> </w:t>
      </w:r>
      <w:r>
        <w:t xml:space="preserve">options. There is a real gap in the middle.</w:t>
      </w:r>
    </w:p>
    <w:p>
      <w:pPr>
        <w:pStyle w:val="BodyText"/>
      </w:pPr>
      <w:r>
        <w:t xml:space="preserve">This offering closes that gap. Vince delivers relationship, intake, and implementation. Genesis AI delivers research depth, living asset monitoring, and continuous compliance intelligence no solo attorney can match. Shawn Olson provides the attorney of record, supervision, and signature on every legal document. The client gets category-creating quality at mid-market pricing. Shawn gets a pipeline of pre-qualified estate clients he can serve at dramatically higher margin per hour because the low-value research and drafting labor is done by the Vince-Genesis intake before his desk ever sees the file.</w:t>
      </w:r>
    </w:p>
    <w:p>
      <w:pPr>
        <w:pStyle w:val="BodyText"/>
      </w:pPr>
      <w:r>
        <w:t xml:space="preserve">Three tiers. Every tier deliverable today with Vince + Shawn + Genesis. No tier sells anything that has not already been battle-tested in the Wealth Sovereignty research library (</w:t>
      </w:r>
      <w:r>
        <w:rPr>
          <w:rStyle w:val="VerbatimChar"/>
        </w:rPr>
        <w:t xml:space="preserve">docs/research/packages/wealth_estate_planning/</w:t>
      </w:r>
      <w:r>
        <w:t xml:space="preserve">,</w:t>
      </w:r>
      <w:r>
        <w:t xml:space="preserve"> </w:t>
      </w:r>
      <w:r>
        <w:rPr>
          <w:rStyle w:val="VerbatimChar"/>
        </w:rPr>
        <w:t xml:space="preserve">wealth_revocable_trusts/</w:t>
      </w:r>
      <w:r>
        <w:t xml:space="preserve">,</w:t>
      </w:r>
      <w:r>
        <w:t xml:space="preserve"> </w:t>
      </w:r>
      <w:r>
        <w:rPr>
          <w:rStyle w:val="VerbatimChar"/>
        </w:rPr>
        <w:t xml:space="preserve">wealth_asset_protection_domestic/</w:t>
      </w:r>
      <w:r>
        <w:t xml:space="preserve">,</w:t>
      </w:r>
      <w:r>
        <w:t xml:space="preserve"> </w:t>
      </w:r>
      <w:r>
        <w:rPr>
          <w:rStyle w:val="VerbatimChar"/>
        </w:rPr>
        <w:t xml:space="preserve">wealth_re_asset_protection/</w:t>
      </w:r>
      <w:r>
        <w:t xml:space="preserve">,</w:t>
      </w:r>
      <w:r>
        <w:t xml:space="preserve"> </w:t>
      </w:r>
      <w:r>
        <w:rPr>
          <w:rStyle w:val="VerbatimChar"/>
        </w:rPr>
        <w:t xml:space="preserve">wealth_wills_advance/</w:t>
      </w:r>
      <w:r>
        <w:t xml:space="preserve">).</w:t>
      </w:r>
    </w:p>
    <w:p>
      <w:r>
        <w:pict>
          <v:rect style="width:0;height:1.5pt" o:hralign="center" o:hrstd="t" o:hr="t"/>
        </w:pict>
      </w:r>
    </w:p>
    <w:p>
      <w:pPr>
        <w:pStyle w:val="Heading2"/>
      </w:pPr>
      <w:bookmarkStart w:id="23" w:name="the-stewardship-frame"/>
      <w:r>
        <w:t xml:space="preserve">THE STEWARDSHIP FRAME</w:t>
      </w:r>
      <w:bookmarkEnd w:id="23"/>
    </w:p>
    <w:p>
      <w:pPr>
        <w:pStyle w:val="BlockText"/>
      </w:pPr>
      <w:r>
        <w:t xml:space="preserve">“</w:t>
      </w:r>
      <w:r>
        <w:t xml:space="preserve">A good man leaves an inheritance to his children’s children.</w:t>
      </w:r>
      <w:r>
        <w:t xml:space="preserve">”</w:t>
      </w:r>
      <w:r>
        <w:t xml:space="preserve"> </w:t>
      </w:r>
      <w:r>
        <w:t xml:space="preserve">— Proverbs 13:22</w:t>
      </w:r>
    </w:p>
    <w:p>
      <w:pPr>
        <w:pStyle w:val="FirstParagraph"/>
      </w:pPr>
      <w:r>
        <w:t xml:space="preserve">Every tier of this offering is grounded in stewardship, not hoarding. The Hebrew</w:t>
      </w:r>
      <w:r>
        <w:t xml:space="preserve"> </w:t>
      </w:r>
      <w:r>
        <w:rPr>
          <w:rStyle w:val="VerbatimChar"/>
        </w:rPr>
        <w:t xml:space="preserve">nachalah</w:t>
      </w:r>
      <w:r>
        <w:t xml:space="preserve"> </w:t>
      </w:r>
      <w:r>
        <w:t xml:space="preserve">— inheritance received as grace handed down rather than as commodity purchased — is the foundational frame. A trust is not a tax dodge. A land trust is not a hiding place. An irrevocable asset protection trust is not a creditor-evading maneuver. Each instrument is the modern expression of the biblical storehouse — Joseph’s seven years of plenty invested into architecture that sustained Egypt through seven years of famine, Boaz’s kinsman-redeemer role preserving family land across a generation of hardship, Nehemiah holding the trowel in one hand and the sword in the other while rebuilding the wall.</w:t>
      </w:r>
    </w:p>
    <w:p>
      <w:pPr>
        <w:pStyle w:val="BodyText"/>
      </w:pPr>
      <w:r>
        <w:t xml:space="preserve">The wrong motive for asset protection is evading a valid debt. The right motive is shielding from frivolous, unjust, or catastrophically disproportionate attack the resources entrusted for family provision, kingdom work, and generational blessing. Every engagement letter signed under this offering carries that frame. Clients who want to hide from real creditors are declined at intake. Clients who want to build the ark before the rain — in Vince’s words,</w:t>
      </w:r>
      <w:r>
        <w:t xml:space="preserve"> </w:t>
      </w:r>
      <w:r>
        <w:t xml:space="preserve">“</w:t>
      </w:r>
      <w:r>
        <w:t xml:space="preserve">doing it now so we’re not racing the summons</w:t>
      </w:r>
      <w:r>
        <w:t xml:space="preserve">”</w:t>
      </w:r>
      <w:r>
        <w:t xml:space="preserve"> </w:t>
      </w:r>
      <w:r>
        <w:t xml:space="preserve">— are welcomed.</w:t>
      </w:r>
    </w:p>
    <w:p>
      <w:r>
        <w:pict>
          <v:rect style="width:0;height:1.5pt" o:hralign="center" o:hrstd="t" o:hr="t"/>
        </w:pict>
      </w:r>
    </w:p>
    <w:p>
      <w:pPr>
        <w:pStyle w:val="Heading1"/>
      </w:pPr>
      <w:bookmarkStart w:id="24" w:name="tier-1-the-foundation"/>
      <w:r>
        <w:t xml:space="preserve">TIER 1 — THE FOUNDATION</w:t>
      </w:r>
      <w:bookmarkEnd w:id="24"/>
    </w:p>
    <w:p>
      <w:pPr>
        <w:pStyle w:val="FirstParagraph"/>
      </w:pPr>
      <w:r>
        <w:rPr>
          <w:b/>
        </w:rPr>
        <w:t xml:space="preserve">Price:</w:t>
      </w:r>
      <w:r>
        <w:t xml:space="preserve"> </w:t>
      </w:r>
      <w:r>
        <w:t xml:space="preserve">$3,500 – $6,000 (flat fee, all-in)</w:t>
      </w:r>
      <w:r>
        <w:t xml:space="preserve"> </w:t>
      </w:r>
      <w:r>
        <w:rPr>
          <w:b/>
        </w:rPr>
        <w:t xml:space="preserve">Timeline:</w:t>
      </w:r>
      <w:r>
        <w:t xml:space="preserve"> </w:t>
      </w:r>
      <w:r>
        <w:t xml:space="preserve">21 – 35 days from signed engagement to fully executed and funded trust</w:t>
      </w:r>
      <w:r>
        <w:t xml:space="preserve"> </w:t>
      </w:r>
      <w:r>
        <w:rPr>
          <w:b/>
        </w:rPr>
        <w:t xml:space="preserve">Who it is for:</w:t>
      </w:r>
      <w:r>
        <w:t xml:space="preserve"> </w:t>
      </w:r>
      <w:r>
        <w:t xml:space="preserve">California families with net worth between approximately $500,000 and $2.5 million, one primary residence (possibly with a mortgage), retirement accounts, life insurance, one or two bank and brokerage accounts, and typically no separate business entity or rental portfolio. This is the</w:t>
      </w:r>
      <w:r>
        <w:t xml:space="preserve"> </w:t>
      </w:r>
      <w:r>
        <w:t xml:space="preserve">“</w:t>
      </w:r>
      <w:r>
        <w:t xml:space="preserve">every California homeowner needs this or their heirs will regret it</w:t>
      </w:r>
      <w:r>
        <w:t xml:space="preserve">”</w:t>
      </w:r>
      <w:r>
        <w:t xml:space="preserve"> </w:t>
      </w:r>
      <w:r>
        <w:t xml:space="preserve">package. It is also the package the paralegals at the referring attorney’s office will route most often — it is the straightforward estate-planning work their attorney has not pursued.</w:t>
      </w:r>
    </w:p>
    <w:p>
      <w:pPr>
        <w:pStyle w:val="Heading2"/>
      </w:pPr>
      <w:bookmarkStart w:id="25" w:name="what-the-client-gets"/>
      <w:r>
        <w:t xml:space="preserve">What the Client Gets</w:t>
      </w:r>
      <w:bookmarkEnd w:id="25"/>
    </w:p>
    <w:p>
      <w:pPr>
        <w:pStyle w:val="FirstParagraph"/>
      </w:pPr>
      <w:r>
        <w:t xml:space="preserve">Every Tier 1 client walks away with a complete, funded, California-compliant estate-plan binder containing:</w:t>
      </w:r>
    </w:p>
    <w:p>
      <w:pPr>
        <w:numPr>
          <w:ilvl w:val="0"/>
          <w:numId w:val="1001"/>
        </w:numPr>
      </w:pPr>
      <w:r>
        <w:rPr>
          <w:b/>
        </w:rPr>
        <w:t xml:space="preserve">Revocable Living Trust</w:t>
      </w:r>
      <w:r>
        <w:t xml:space="preserve"> </w:t>
      </w:r>
      <w:r>
        <w:t xml:space="preserve">— drafted to Cal. Prob. Code §§ 15200–18201 standards. Separate-trust or joint-trust structure selected based on the family’s community-property and separate-property mix. Explicit survivorship clause (Cal. Prob. Code §§ 220 and 6403 — the 120-hour rule) with a 30-day override to handle the</w:t>
      </w:r>
      <w:r>
        <w:t xml:space="preserve"> </w:t>
      </w:r>
      <w:r>
        <w:t xml:space="preserve">“</w:t>
      </w:r>
      <w:r>
        <w:t xml:space="preserve">who died first</w:t>
      </w:r>
      <w:r>
        <w:t xml:space="preserve">”</w:t>
      </w:r>
      <w:r>
        <w:t xml:space="preserve"> </w:t>
      </w:r>
      <w:r>
        <w:t xml:space="preserve">problem at both the trust and the will layer simultaneously. Successor-trustee chain with at least two named alternates. HEMS (Health, Education, Maintenance, Support) distribution standard for any minor or young-adult beneficiaries. Spendthrift provision. No-contest clause drafted to satisfy Cal. Prob. Code §§ 21310–21315’s</w:t>
      </w:r>
      <w:r>
        <w:t xml:space="preserve"> </w:t>
      </w:r>
      <w:r>
        <w:t xml:space="preserve">“</w:t>
      </w:r>
      <w:r>
        <w:t xml:space="preserve">direct contest + no probable cause</w:t>
      </w:r>
      <w:r>
        <w:t xml:space="preserve">”</w:t>
      </w:r>
      <w:r>
        <w:t xml:space="preserve"> </w:t>
      </w:r>
      <w:r>
        <w:t xml:space="preserve">enforceability standard. Certificate-of-Trust provision (Cal. Prob. Code § 18100.5) so the client can prove trust existence to banks without disclosing the full instrument.</w:t>
      </w:r>
    </w:p>
    <w:p>
      <w:pPr>
        <w:numPr>
          <w:ilvl w:val="0"/>
          <w:numId w:val="1001"/>
        </w:numPr>
      </w:pPr>
      <w:r>
        <w:rPr>
          <w:b/>
        </w:rPr>
        <w:t xml:space="preserve">Pour-Over Will</w:t>
      </w:r>
      <w:r>
        <w:t xml:space="preserve"> </w:t>
      </w:r>
      <w:r>
        <w:t xml:space="preserve">— drafted under Cal. Prob. Code § 6110, self-proved under §§ 8220–8221. Pours any probate asset into the Revocable Living Trust as existing at the testator’s death (the</w:t>
      </w:r>
      <w:r>
        <w:t xml:space="preserve"> </w:t>
      </w:r>
      <w:r>
        <w:rPr>
          <w:i/>
        </w:rPr>
        <w:t xml:space="preserve">Clymer v. Mayo</w:t>
      </w:r>
      <w:r>
        <w:t xml:space="preserve"> </w:t>
      </w:r>
      <w:r>
        <w:t xml:space="preserve">pour-over doctrine). Guardianship nomination (§ 1500) for any minor children, with primary and alternate guardians of the person and guardians of the estate separately named. Intentional-omission clause defeating any later pretermitted-child claim (§ 21620) or pretermitted-spouse claim (§ 21610). Tangible-personal-property memorandum incorporated by reference under § 6132 so the family can update</w:t>
      </w:r>
      <w:r>
        <w:t xml:space="preserve"> </w:t>
      </w:r>
      <w:r>
        <w:t xml:space="preserve">“</w:t>
      </w:r>
      <w:r>
        <w:t xml:space="preserve">who gets Grandma’s piano</w:t>
      </w:r>
      <w:r>
        <w:t xml:space="preserve">”</w:t>
      </w:r>
      <w:r>
        <w:t xml:space="preserve"> </w:t>
      </w:r>
      <w:r>
        <w:t xml:space="preserve">without re-executing the will.</w:t>
      </w:r>
    </w:p>
    <w:p>
      <w:pPr>
        <w:numPr>
          <w:ilvl w:val="0"/>
          <w:numId w:val="1001"/>
        </w:numPr>
      </w:pPr>
      <w:r>
        <w:rPr>
          <w:b/>
        </w:rPr>
        <w:t xml:space="preserve">Durable Power of Attorney for Finances</w:t>
      </w:r>
      <w:r>
        <w:t xml:space="preserve"> </w:t>
      </w:r>
      <w:r>
        <w:t xml:space="preserve">— drafted under Cal. Prob. Code §§ 4000–4545 (the California Power of Attorney Law based on the UPOA with California modifications). Immediately effective (not springing — see</w:t>
      </w:r>
      <w:r>
        <w:t xml:space="preserve"> </w:t>
      </w:r>
      <w:r>
        <w:rPr>
          <w:rStyle w:val="VerbatimChar"/>
        </w:rPr>
        <w:t xml:space="preserve">wealth_wills_advance</w:t>
      </w:r>
      <w:r>
        <w:t xml:space="preserve"> </w:t>
      </w:r>
      <w:r>
        <w:t xml:space="preserve">strand for why springing POAs fail in the real world when banks refuse to honor them). Explicit gift authority within annual-exclusion limits per § 4264 because many POAs break on this exact point. Explicit trust-amendment and beneficiary-change authority carve-outs where appropriate. Statutory short-form scope elections per § 4401 for the fourteen authority categories.</w:t>
      </w:r>
    </w:p>
    <w:p>
      <w:pPr>
        <w:numPr>
          <w:ilvl w:val="0"/>
          <w:numId w:val="1001"/>
        </w:numPr>
      </w:pPr>
      <w:r>
        <w:rPr>
          <w:b/>
        </w:rPr>
        <w:t xml:space="preserve">Advance Health Care Directive</w:t>
      </w:r>
      <w:r>
        <w:t xml:space="preserve"> </w:t>
      </w:r>
      <w:r>
        <w:t xml:space="preserve">— drafted on the Cal. Prob. Code § 4701 statutory form with customization. Primary agent plus two alternates. Full end-of-life-treatment preferences covering terminal condition, permanent unconsciousness, end-stage medical, CPR/DNR, artificial nutrition and hydration, mechanical ventilation, dialysis, surgery, antibiotics, organ donation, autopsy, disposition of remains. Coordinated with the California End of Life Option Act (Health &amp; Safety Code §§ 443–443.22) if the client elects. Religious-objection provisions if appropriate.</w:t>
      </w:r>
    </w:p>
    <w:p>
      <w:pPr>
        <w:numPr>
          <w:ilvl w:val="0"/>
          <w:numId w:val="1001"/>
        </w:numPr>
      </w:pPr>
      <w:r>
        <w:rPr>
          <w:b/>
        </w:rPr>
        <w:t xml:space="preserve">HIPAA Authorization</w:t>
      </w:r>
      <w:r>
        <w:t xml:space="preserve"> </w:t>
      </w:r>
      <w:r>
        <w:t xml:space="preserve">— separate stand-alone authorization under 45 CFR § 164.508, because the healthcare directive alone does not always grant hospital records access and the belt-and-suspenders practice is to execute both.</w:t>
      </w:r>
    </w:p>
    <w:p>
      <w:pPr>
        <w:numPr>
          <w:ilvl w:val="0"/>
          <w:numId w:val="1001"/>
        </w:numPr>
      </w:pPr>
      <w:r>
        <w:rPr>
          <w:b/>
        </w:rPr>
        <w:t xml:space="preserve">Nomination of Guardian</w:t>
      </w:r>
      <w:r>
        <w:t xml:space="preserve"> </w:t>
      </w:r>
      <w:r>
        <w:t xml:space="preserve">— stand-alone document (in addition to the will-based nomination) under Cal. Prob. Code § 1500 for any minor children. Keeps the nomination accessible without probate of the will.</w:t>
      </w:r>
    </w:p>
    <w:p>
      <w:pPr>
        <w:numPr>
          <w:ilvl w:val="0"/>
          <w:numId w:val="1001"/>
        </w:numPr>
      </w:pPr>
      <w:r>
        <w:rPr>
          <w:b/>
        </w:rPr>
        <w:t xml:space="preserve">Funding Instructions + Schedule of Assets</w:t>
      </w:r>
      <w:r>
        <w:t xml:space="preserve"> </w:t>
      </w:r>
      <w:r>
        <w:t xml:space="preserve">— the living document that turns the trust from</w:t>
      </w:r>
      <w:r>
        <w:t xml:space="preserve"> </w:t>
      </w:r>
      <w:r>
        <w:t xml:space="preserve">“</w:t>
      </w:r>
      <w:r>
        <w:t xml:space="preserve">paper in a drawer</w:t>
      </w:r>
      <w:r>
        <w:t xml:space="preserve">”</w:t>
      </w:r>
      <w:r>
        <w:t xml:space="preserve"> </w:t>
      </w:r>
      <w:r>
        <w:t xml:space="preserve">into a funded instrument. Line-item schedule of every asset we intend to fund, the exact retitling instruction for each (grant deed into trust, beneficiary change form for the IRA, TOD registration on the brokerage, account retitling at the bank, LLC-membership assignment, vehicle-title transfer or PTOD if applicable), and the identity of the party responsible for completing each step with a deadline. Genesis tracks every step to completion and delivers a funding-complete certificate when every asset is verified titled. This solves</w:t>
      </w:r>
      <w:r>
        <w:t xml:space="preserve"> </w:t>
      </w:r>
      <w:r>
        <w:t xml:space="preserve">“</w:t>
      </w:r>
      <w:r>
        <w:t xml:space="preserve">the drawer problem</w:t>
      </w:r>
      <w:r>
        <w:t xml:space="preserve">”</w:t>
      </w:r>
      <w:r>
        <w:t xml:space="preserve"> </w:t>
      </w:r>
      <w:r>
        <w:t xml:space="preserve">— the industry-wide failure mode where the majority of California trusts sit partially or fully unfunded at the grantor’s death and probate happens anyway.</w:t>
      </w:r>
    </w:p>
    <w:p>
      <w:pPr>
        <w:numPr>
          <w:ilvl w:val="0"/>
          <w:numId w:val="1001"/>
        </w:numPr>
      </w:pPr>
      <w:r>
        <w:rPr>
          <w:b/>
        </w:rPr>
        <w:t xml:space="preserve">Certificate of Trust</w:t>
      </w:r>
      <w:r>
        <w:t xml:space="preserve"> </w:t>
      </w:r>
      <w:r>
        <w:t xml:space="preserve">— short-form summary the client can hand to banks and title companies without disclosing the full trust instrument. Cal. Prob. Code § 18100.5 safe harbor protecting third parties who rely on it.</w:t>
      </w:r>
    </w:p>
    <w:p>
      <w:pPr>
        <w:numPr>
          <w:ilvl w:val="0"/>
          <w:numId w:val="1001"/>
        </w:numPr>
      </w:pPr>
      <w:r>
        <w:rPr>
          <w:b/>
        </w:rPr>
        <w:t xml:space="preserve">One 90-minute Strategy Session</w:t>
      </w:r>
      <w:r>
        <w:t xml:space="preserve"> </w:t>
      </w:r>
      <w:r>
        <w:t xml:space="preserve">— conducted by Vince with Genesis intelligence live on the screen. Walks the client through the entire binder. Answers questions. Captures any surprises. Documents family-specific nuances (blended family, estranged child, special-needs beneficiary, non-citizen spouse, digital-asset preferences) that Genesis folds into the drafting.</w:t>
      </w:r>
    </w:p>
    <w:p>
      <w:pPr>
        <w:numPr>
          <w:ilvl w:val="0"/>
          <w:numId w:val="1001"/>
        </w:numPr>
      </w:pPr>
      <w:r>
        <w:rPr>
          <w:b/>
        </w:rPr>
        <w:t xml:space="preserve">Shawn Olson Attorney Final Review and Signature-Blessing</w:t>
      </w:r>
      <w:r>
        <w:t xml:space="preserve"> </w:t>
      </w:r>
      <w:r>
        <w:t xml:space="preserve">— every document that constitutes legal advice or requires an attorney signature-blessing is reviewed and signed off by Shawn Olson. The attorney-client relationship exists between the client and Shawn’s law practice. Shawn’s malpractice insurance covers the legal work. Shawn’s bar license is on the line for every signature. Genesis’s research and drafting work is delivered to Shawn as vendor work product; Shawn applies legal judgment, makes any corrections, and delivers to the client as Shawn’s work product.</w:t>
      </w:r>
    </w:p>
    <w:p>
      <w:pPr>
        <w:pStyle w:val="Heading2"/>
      </w:pPr>
      <w:bookmarkStart w:id="26" w:name="genesis-ai-leverage-applied"/>
      <w:r>
        <w:t xml:space="preserve">Genesis AI Leverage Applied</w:t>
      </w:r>
      <w:bookmarkEnd w:id="26"/>
    </w:p>
    <w:p>
      <w:pPr>
        <w:pStyle w:val="FirstParagraph"/>
      </w:pPr>
      <w:r>
        <w:t xml:space="preserve">The reason Tier 1 runs at $3,500 – $6,000 instead of the $5,000 – $10,000 a comparable boutique California firm would charge is not that corners are cut. It is that Genesis performs the eighty hours of intake, research, drafting, funding-schedule construction, and document production in roughly eight hours of AI-leveraged time. Shawn’s desk sees a finished, attorney-review-ready package and spends his billable hours on judgment rather than on research. The client gets better depth at a lower price. Shawn gets a higher effective hourly yield on his review time. Vince gets a repeatable product he can sell predictably.</w:t>
      </w:r>
    </w:p>
    <w:p>
      <w:pPr>
        <w:pStyle w:val="BodyText"/>
      </w:pPr>
      <w:r>
        <w:t xml:space="preserve">Every Tier 1 deliverable is also wired into Genesis’s continuous monitoring engine for the first year. Beneficiary-designation drift, California probate-code amendments, Proposition 19 reassessment triggers, HIPAA update notices, POA refresh reminders (the three-to-five-year bank-acceptance rule), and funding-gap alerts surface automatically. At month eleven, the client gets an annual checkup email that triggers a free fifteen-minute renewal conversation with Vince.</w:t>
      </w:r>
    </w:p>
    <w:p>
      <w:pPr>
        <w:pStyle w:val="Heading2"/>
      </w:pPr>
      <w:bookmarkStart w:id="27" w:name="shawn-olsons-role-explicit-map"/>
      <w:r>
        <w:t xml:space="preserve">Shawn Olson’s Role (Explicit Map)</w:t>
      </w:r>
      <w:bookmarkEnd w:id="27"/>
    </w:p>
    <w:p>
      <w:pPr>
        <w:numPr>
          <w:ilvl w:val="0"/>
          <w:numId w:val="1002"/>
        </w:numPr>
        <w:pStyle w:val="Compact"/>
      </w:pPr>
      <w:r>
        <w:t xml:space="preserve">Reviews every draft legal instrument produced by the Vince+Genesis intake.</w:t>
      </w:r>
    </w:p>
    <w:p>
      <w:pPr>
        <w:numPr>
          <w:ilvl w:val="0"/>
          <w:numId w:val="1002"/>
        </w:numPr>
        <w:pStyle w:val="Compact"/>
      </w:pPr>
      <w:r>
        <w:t xml:space="preserve">Provides legal advice to the client on any judgment-call issue that arises during review.</w:t>
      </w:r>
    </w:p>
    <w:p>
      <w:pPr>
        <w:numPr>
          <w:ilvl w:val="0"/>
          <w:numId w:val="1002"/>
        </w:numPr>
        <w:pStyle w:val="Compact"/>
      </w:pPr>
      <w:r>
        <w:t xml:space="preserve">Makes any edits the instrument requires to meet the California standard of care.</w:t>
      </w:r>
    </w:p>
    <w:p>
      <w:pPr>
        <w:numPr>
          <w:ilvl w:val="0"/>
          <w:numId w:val="1002"/>
        </w:numPr>
        <w:pStyle w:val="Compact"/>
      </w:pPr>
      <w:r>
        <w:t xml:space="preserve">Signs the engagement letter as the attorney of record.</w:t>
      </w:r>
    </w:p>
    <w:p>
      <w:pPr>
        <w:numPr>
          <w:ilvl w:val="0"/>
          <w:numId w:val="1002"/>
        </w:numPr>
        <w:pStyle w:val="Compact"/>
      </w:pPr>
      <w:r>
        <w:t xml:space="preserve">Signs or initials every legal document as attorney-drafter.</w:t>
      </w:r>
    </w:p>
    <w:p>
      <w:pPr>
        <w:numPr>
          <w:ilvl w:val="0"/>
          <w:numId w:val="1002"/>
        </w:numPr>
        <w:pStyle w:val="Compact"/>
      </w:pPr>
      <w:r>
        <w:t xml:space="preserve">Conducts the will execution ceremony with the client and two disinterested witnesses per Cal. Prob. Code § 6110(c). Self-proving affidavit under §§ 8220–8221 executed contemporaneously.</w:t>
      </w:r>
    </w:p>
    <w:p>
      <w:pPr>
        <w:numPr>
          <w:ilvl w:val="0"/>
          <w:numId w:val="1002"/>
        </w:numPr>
        <w:pStyle w:val="Compact"/>
      </w:pPr>
      <w:r>
        <w:t xml:space="preserve">Notarizes (or has notarized) the POA, Advance Directive, and HIPAA authorization.</w:t>
      </w:r>
    </w:p>
    <w:p>
      <w:pPr>
        <w:numPr>
          <w:ilvl w:val="0"/>
          <w:numId w:val="1002"/>
        </w:numPr>
        <w:pStyle w:val="Compact"/>
      </w:pPr>
      <w:r>
        <w:t xml:space="preserve">Records the deed into the trust and any other required real-property instrument.</w:t>
      </w:r>
    </w:p>
    <w:p>
      <w:pPr>
        <w:numPr>
          <w:ilvl w:val="0"/>
          <w:numId w:val="1002"/>
        </w:numPr>
        <w:pStyle w:val="Compact"/>
      </w:pPr>
      <w:r>
        <w:t xml:space="preserve">Retains the signed originals in Shawn’s firm’s estate-planning vault.</w:t>
      </w:r>
    </w:p>
    <w:p>
      <w:pPr>
        <w:numPr>
          <w:ilvl w:val="0"/>
          <w:numId w:val="1002"/>
        </w:numPr>
        <w:pStyle w:val="Compact"/>
      </w:pPr>
      <w:r>
        <w:t xml:space="preserve">Carries the professional liability insurance.</w:t>
      </w:r>
    </w:p>
    <w:p>
      <w:pPr>
        <w:pStyle w:val="Heading2"/>
      </w:pPr>
      <w:bookmarkStart w:id="28" w:name="competition-comparison"/>
      <w:r>
        <w:t xml:space="preserve">Competition Comparison</w:t>
      </w:r>
      <w:bookmarkEnd w:id="28"/>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Provider</w:t>
            </w:r>
          </w:p>
        </w:tc>
        <w:tc>
          <w:tcPr>
            <w:tcBorders>
              <w:bottom w:val="single"/>
            </w:tcBorders>
            <w:vAlign w:val="bottom"/>
          </w:tcPr>
          <w:p>
            <w:pPr>
              <w:pStyle w:val="Compact"/>
              <w:jc w:val="left"/>
            </w:pPr>
            <w:r>
              <w:t xml:space="preserve">Comparable Offering</w:t>
            </w:r>
          </w:p>
        </w:tc>
        <w:tc>
          <w:tcPr>
            <w:tcBorders>
              <w:bottom w:val="single"/>
            </w:tcBorders>
            <w:vAlign w:val="bottom"/>
          </w:tcPr>
          <w:p>
            <w:pPr>
              <w:pStyle w:val="Compact"/>
              <w:jc w:val="left"/>
            </w:pPr>
            <w:r>
              <w:t xml:space="preserve">Price</w:t>
            </w:r>
          </w:p>
        </w:tc>
        <w:tc>
          <w:tcPr>
            <w:tcBorders>
              <w:bottom w:val="single"/>
            </w:tcBorders>
            <w:vAlign w:val="bottom"/>
          </w:tcPr>
          <w:p>
            <w:pPr>
              <w:pStyle w:val="Compact"/>
              <w:jc w:val="left"/>
            </w:pPr>
            <w:r>
              <w:t xml:space="preserve">What Genesis Delivers That They Do Not</w:t>
            </w:r>
          </w:p>
        </w:tc>
      </w:tr>
      <w:tr>
        <w:tc>
          <w:p>
            <w:pPr>
              <w:pStyle w:val="Compact"/>
              <w:jc w:val="left"/>
            </w:pPr>
            <w:r>
              <w:rPr>
                <w:b/>
              </w:rPr>
              <w:t xml:space="preserve">LegalZoom / Trust &amp; Will / online DIY</w:t>
            </w:r>
          </w:p>
        </w:tc>
        <w:tc>
          <w:p>
            <w:pPr>
              <w:pStyle w:val="Compact"/>
              <w:jc w:val="left"/>
            </w:pPr>
            <w:r>
              <w:t xml:space="preserve">Basic living trust + pour-over will + POA + healthcare directive</w:t>
            </w:r>
          </w:p>
        </w:tc>
        <w:tc>
          <w:p>
            <w:pPr>
              <w:pStyle w:val="Compact"/>
              <w:jc w:val="left"/>
            </w:pPr>
            <w:r>
              <w:t xml:space="preserve">$199 – $599</w:t>
            </w:r>
          </w:p>
        </w:tc>
        <w:tc>
          <w:p>
            <w:pPr>
              <w:pStyle w:val="Compact"/>
              <w:jc w:val="left"/>
            </w:pPr>
            <w:r>
              <w:t xml:space="preserve">Not California-drafted at attorney standard of care. No attorney-client relationship. No funding verification. No Proposition 19 analysis. No continuous monitoring. Majority of these trusts sit unfunded at death.</w:t>
            </w:r>
          </w:p>
        </w:tc>
      </w:tr>
      <w:tr>
        <w:tc>
          <w:p>
            <w:pPr>
              <w:pStyle w:val="Compact"/>
              <w:jc w:val="left"/>
            </w:pPr>
            <w:r>
              <w:rPr>
                <w:b/>
              </w:rPr>
              <w:t xml:space="preserve">Typical California estate-planning attorney</w:t>
            </w:r>
          </w:p>
        </w:tc>
        <w:tc>
          <w:p>
            <w:pPr>
              <w:pStyle w:val="Compact"/>
              <w:jc w:val="left"/>
            </w:pPr>
            <w:r>
              <w:t xml:space="preserve">Same seven-document binder with initial funding of primary residence</w:t>
            </w:r>
          </w:p>
        </w:tc>
        <w:tc>
          <w:p>
            <w:pPr>
              <w:pStyle w:val="Compact"/>
              <w:jc w:val="left"/>
            </w:pPr>
            <w:r>
              <w:t xml:space="preserve">$3,000 – $6,500</w:t>
            </w:r>
          </w:p>
        </w:tc>
        <w:tc>
          <w:p>
            <w:pPr>
              <w:pStyle w:val="Compact"/>
              <w:jc w:val="left"/>
            </w:pPr>
            <w:r>
              <w:t xml:space="preserve">Comparable instruments but no continuous monitoring, no AI-powered Funding Graph, no annual checkup, typically weaker who-died-first drafting, typically weaker digital-asset coverage. Funding gaps frequent.</w:t>
            </w:r>
          </w:p>
        </w:tc>
      </w:tr>
      <w:tr>
        <w:tc>
          <w:p>
            <w:pPr>
              <w:pStyle w:val="Compact"/>
              <w:jc w:val="left"/>
            </w:pPr>
            <w:r>
              <w:rPr>
                <w:b/>
              </w:rPr>
              <w:t xml:space="preserve">Boutique firms (Weinstock Manion, Gensler Yocum, Kobrin &amp; Kiley, etc.)</w:t>
            </w:r>
          </w:p>
        </w:tc>
        <w:tc>
          <w:p>
            <w:pPr>
              <w:pStyle w:val="Compact"/>
              <w:jc w:val="left"/>
            </w:pPr>
            <w:r>
              <w:t xml:space="preserve">Premium boutique trust package</w:t>
            </w:r>
          </w:p>
        </w:tc>
        <w:tc>
          <w:p>
            <w:pPr>
              <w:pStyle w:val="Compact"/>
              <w:jc w:val="left"/>
            </w:pPr>
            <w:r>
              <w:t xml:space="preserve">$6,500 – $15,000</w:t>
            </w:r>
          </w:p>
        </w:tc>
        <w:tc>
          <w:p>
            <w:pPr>
              <w:pStyle w:val="Compact"/>
              <w:jc w:val="left"/>
            </w:pPr>
            <w:r>
              <w:t xml:space="preserve">Comparable instrument depth; dramatically higher price; still no continuous monitoring layer.</w:t>
            </w:r>
          </w:p>
        </w:tc>
      </w:tr>
      <w:tr>
        <w:tc>
          <w:p>
            <w:pPr>
              <w:pStyle w:val="Compact"/>
              <w:jc w:val="left"/>
            </w:pPr>
            <w:r>
              <w:rPr>
                <w:b/>
              </w:rPr>
              <w:t xml:space="preserve">Genesis AB Legacy (Tier 1)</w:t>
            </w:r>
          </w:p>
        </w:tc>
        <w:tc>
          <w:p>
            <w:pPr>
              <w:pStyle w:val="Compact"/>
              <w:jc w:val="left"/>
            </w:pPr>
            <w:r>
              <w:t xml:space="preserve">All above plus continuous monitoring, who-died-first coordination, digital-asset directives, Kingdom framing</w:t>
            </w:r>
          </w:p>
        </w:tc>
        <w:tc>
          <w:p>
            <w:pPr>
              <w:pStyle w:val="Compact"/>
              <w:jc w:val="left"/>
            </w:pPr>
            <w:r>
              <w:t xml:space="preserve">$3,500 – $6,000</w:t>
            </w:r>
          </w:p>
        </w:tc>
        <w:tc>
          <w:p>
            <w:pPr>
              <w:pStyle w:val="Compact"/>
              <w:jc w:val="left"/>
            </w:pPr>
            <w:r>
              <w:t xml:space="preserve">Category-creating continuous living trust, backed by AI research depth no solo firm matches, delivered at mid-market price.</w:t>
            </w:r>
          </w:p>
        </w:tc>
      </w:tr>
    </w:tbl>
    <w:p>
      <w:pPr>
        <w:pStyle w:val="Heading2"/>
      </w:pPr>
      <w:bookmarkStart w:id="29" w:name="Xa948359a971f5312c5c9fbb778916368687b943"/>
      <w:r>
        <w:t xml:space="preserve">What Categorically Differentiates Genesis at Tier 1</w:t>
      </w:r>
      <w:bookmarkEnd w:id="29"/>
    </w:p>
    <w:p>
      <w:pPr>
        <w:numPr>
          <w:ilvl w:val="0"/>
          <w:numId w:val="1003"/>
        </w:numPr>
        <w:pStyle w:val="Compact"/>
      </w:pPr>
      <w:r>
        <w:rPr>
          <w:b/>
        </w:rPr>
        <w:t xml:space="preserve">Continuous monitoring built in for the first year.</w:t>
      </w:r>
      <w:r>
        <w:t xml:space="preserve"> </w:t>
      </w:r>
      <w:r>
        <w:t xml:space="preserve">Every other competitor hands over paper and says goodbye. Genesis watches the trust every day.</w:t>
      </w:r>
    </w:p>
    <w:p>
      <w:pPr>
        <w:numPr>
          <w:ilvl w:val="0"/>
          <w:numId w:val="1003"/>
        </w:numPr>
        <w:pStyle w:val="Compact"/>
      </w:pPr>
      <w:r>
        <w:rPr>
          <w:b/>
        </w:rPr>
        <w:t xml:space="preserve">The Funding Graph.</w:t>
      </w:r>
      <w:r>
        <w:t xml:space="preserve"> </w:t>
      </w:r>
      <w:r>
        <w:t xml:space="preserve">Every asset represented as a live node with titling status, beneficiary designation, tax basis, and exception flags. Gaps surface before they become probate.</w:t>
      </w:r>
    </w:p>
    <w:p>
      <w:pPr>
        <w:numPr>
          <w:ilvl w:val="0"/>
          <w:numId w:val="1003"/>
        </w:numPr>
        <w:pStyle w:val="Compact"/>
      </w:pPr>
      <w:r>
        <w:rPr>
          <w:b/>
        </w:rPr>
        <w:t xml:space="preserve">The who-died-first coordination.</w:t>
      </w:r>
      <w:r>
        <w:t xml:space="preserve"> </w:t>
      </w:r>
      <w:r>
        <w:t xml:space="preserve">Survivorship drafting is synchronized across the will, the trust, the POA, the advance directive, every retirement-account beneficiary designation, every life-insurance beneficiary designation, and the deed to the primary residence. Most solo attorneys coordinate two of those seven. Genesis coordinates all seven.</w:t>
      </w:r>
    </w:p>
    <w:p>
      <w:pPr>
        <w:numPr>
          <w:ilvl w:val="0"/>
          <w:numId w:val="1003"/>
        </w:numPr>
        <w:pStyle w:val="Compact"/>
      </w:pPr>
      <w:r>
        <w:rPr>
          <w:b/>
        </w:rPr>
        <w:t xml:space="preserve">Digital-asset directive out of the box.</w:t>
      </w:r>
      <w:r>
        <w:t xml:space="preserve"> </w:t>
      </w:r>
      <w:r>
        <w:t xml:space="preserve">RUFADAA-compliant authorization (Cal. Prob. Code §§ 870–884) for email, social media, password-manager emergency access, and (if the client holds cryptocurrency) a seed-phrase-succession protocol referenced by location only.</w:t>
      </w:r>
    </w:p>
    <w:p>
      <w:pPr>
        <w:numPr>
          <w:ilvl w:val="0"/>
          <w:numId w:val="1003"/>
        </w:numPr>
        <w:pStyle w:val="Compact"/>
      </w:pPr>
      <w:r>
        <w:rPr>
          <w:b/>
        </w:rPr>
        <w:t xml:space="preserve">Kingdom framing.</w:t>
      </w:r>
      <w:r>
        <w:t xml:space="preserve"> </w:t>
      </w:r>
      <w:r>
        <w:t xml:space="preserve">Every binder includes a Legacy Letter template — the ethical-will companion that captures values alongside assets. Stewardship, not hoarding.</w:t>
      </w:r>
    </w:p>
    <w:p>
      <w:r>
        <w:pict>
          <v:rect style="width:0;height:1.5pt" o:hralign="center" o:hrstd="t" o:hr="t"/>
        </w:pict>
      </w:r>
    </w:p>
    <w:p>
      <w:pPr>
        <w:pStyle w:val="Heading1"/>
      </w:pPr>
      <w:bookmarkStart w:id="30" w:name="tier-2-the-shield"/>
      <w:r>
        <w:t xml:space="preserve">TIER 2 — THE SHIELD</w:t>
      </w:r>
      <w:bookmarkEnd w:id="30"/>
    </w:p>
    <w:p>
      <w:pPr>
        <w:pStyle w:val="FirstParagraph"/>
      </w:pPr>
      <w:r>
        <w:rPr>
          <w:b/>
        </w:rPr>
        <w:t xml:space="preserve">Price:</w:t>
      </w:r>
      <w:r>
        <w:t xml:space="preserve"> </w:t>
      </w:r>
      <w:r>
        <w:t xml:space="preserve">$7,500 – $15,000 (flat fee, all-in, or staged)</w:t>
      </w:r>
      <w:r>
        <w:t xml:space="preserve"> </w:t>
      </w:r>
      <w:r>
        <w:rPr>
          <w:b/>
        </w:rPr>
        <w:t xml:space="preserve">Timeline:</w:t>
      </w:r>
      <w:r>
        <w:t xml:space="preserve"> </w:t>
      </w:r>
      <w:r>
        <w:t xml:space="preserve">45 – 75 days from signed engagement to fully executed and funded stack</w:t>
      </w:r>
      <w:r>
        <w:t xml:space="preserve"> </w:t>
      </w:r>
      <w:r>
        <w:rPr>
          <w:b/>
        </w:rPr>
        <w:t xml:space="preserve">Who it is for:</w:t>
      </w:r>
      <w:r>
        <w:t xml:space="preserve"> </w:t>
      </w:r>
      <w:r>
        <w:t xml:space="preserve">California families with net worth between approximately $2.5 million and $10 million who own one or more rental properties, a primary residence with meaningful equity, possibly a small business or professional practice, and who are awake to the reality that they are a single lawsuit away from catastrophic loss if the architecture is not built. These clients are exactly the ones asking the paralegals at the referring attorney’s office about</w:t>
      </w:r>
      <w:r>
        <w:t xml:space="preserve"> </w:t>
      </w:r>
      <w:r>
        <w:t xml:space="preserve">“</w:t>
      </w:r>
      <w:r>
        <w:t xml:space="preserve">asset protection</w:t>
      </w:r>
      <w:r>
        <w:t xml:space="preserve">”</w:t>
      </w:r>
      <w:r>
        <w:t xml:space="preserve"> </w:t>
      </w:r>
      <w:r>
        <w:t xml:space="preserve">— because California is, in Vince’s words,</w:t>
      </w:r>
      <w:r>
        <w:t xml:space="preserve"> </w:t>
      </w:r>
      <w:r>
        <w:t xml:space="preserve">“</w:t>
      </w:r>
      <w:r>
        <w:t xml:space="preserve">so litigious.</w:t>
      </w:r>
      <w:r>
        <w:t xml:space="preserve">”</w:t>
      </w:r>
      <w:r>
        <w:t xml:space="preserve"> </w:t>
      </w:r>
      <w:r>
        <w:t xml:space="preserve">They deserve a real answer.</w:t>
      </w:r>
    </w:p>
    <w:p>
      <w:pPr>
        <w:pStyle w:val="Heading2"/>
      </w:pPr>
      <w:bookmarkStart w:id="31" w:name="what-the-client-gets-1"/>
      <w:r>
        <w:t xml:space="preserve">What the Client Gets</w:t>
      </w:r>
      <w:bookmarkEnd w:id="31"/>
    </w:p>
    <w:p>
      <w:pPr>
        <w:pStyle w:val="FirstParagraph"/>
      </w:pPr>
      <w:r>
        <w:t xml:space="preserve">Everything in Tier 1, plus the following:</w:t>
      </w:r>
    </w:p>
    <w:p>
      <w:pPr>
        <w:numPr>
          <w:ilvl w:val="0"/>
          <w:numId w:val="1004"/>
        </w:numPr>
      </w:pPr>
      <w:r>
        <w:rPr>
          <w:b/>
        </w:rPr>
        <w:t xml:space="preserve">One California-Compliant Land Trust (AB Legacy Trust template)</w:t>
      </w:r>
      <w:r>
        <w:t xml:space="preserve"> </w:t>
      </w:r>
      <w:r>
        <w:t xml:space="preserve">— a private title-holding land trust in the Illinois/Florida/Virginia model, drafted to California Probate Code standards, modeled on the AB Legacy Trust master instrument already drafted in this worktree at</w:t>
      </w:r>
      <w:r>
        <w:t xml:space="preserve"> </w:t>
      </w:r>
      <w:r>
        <w:rPr>
          <w:rStyle w:val="VerbatimChar"/>
        </w:rPr>
        <w:t xml:space="preserve">drafts/AB_LEGACY_TRUST_MASTER.md</w:t>
      </w:r>
      <w:r>
        <w:t xml:space="preserve">. The land trust holds record title to the primary residence or to one rental property. The beneficial interest is personal property (Rev. Rul. 92-105,</w:t>
      </w:r>
      <w:r>
        <w:t xml:space="preserve"> </w:t>
      </w:r>
      <w:r>
        <w:rPr>
          <w:i/>
        </w:rPr>
        <w:t xml:space="preserve">Chicago Federal Savings &amp; Loan Ass’n v. Cacciatore</w:t>
      </w:r>
      <w:r>
        <w:t xml:space="preserve">, 25 Ill. 2d 535 (1962)) — defeating partition actions under Cal. Code Civ. Proc. § 872.210, enabling UCC Article 9 perfection of any security interest in the beneficial interest, and dropping the owner’s name out of the public land records. The trust is drafted as a</w:t>
      </w:r>
      <w:r>
        <w:t xml:space="preserve"> </w:t>
      </w:r>
      <w:r>
        <w:rPr>
          <w:b/>
        </w:rPr>
        <w:t xml:space="preserve">revocable grantor trust</w:t>
      </w:r>
      <w:r>
        <w:t xml:space="preserve"> </w:t>
      </w:r>
      <w:r>
        <w:t xml:space="preserve">during the grantors’ joint lifetime, preserving the Proposition 13 base-year value (Rev. &amp; Tax. Code §§ 60–67 and Rule 462.160) and qualifying for the documentary-transfer-tax exemption under Rev. &amp; Tax. Code § 11930. Garn-St. Germain safe harbor (12 U.S.C. § 1701j-3(d)(8)) confirmed in writing for any federally-related mortgage on a one-to-four-unit residence. Title insurance re-issued at transfer.</w:t>
      </w:r>
    </w:p>
    <w:p>
      <w:pPr>
        <w:numPr>
          <w:ilvl w:val="0"/>
          <w:numId w:val="1004"/>
        </w:numPr>
      </w:pPr>
      <w:r>
        <w:rPr>
          <w:b/>
        </w:rPr>
        <w:t xml:space="preserve">Wyoming or Nevada Holding LLC Setup</w:t>
      </w:r>
      <w:r>
        <w:t xml:space="preserve"> </w:t>
      </w:r>
      <w:r>
        <w:t xml:space="preserve">— anonymous LLC formed in Wyoming (our default — no public disclosure of members or managers, robust charging-order exclusivity under Wyo. Stat. § 17-29-503) or Nevada (when the client’s risk profile favors the two-year fraudulent-transfer lookback and the stronger</w:t>
      </w:r>
      <w:r>
        <w:t xml:space="preserve"> </w:t>
      </w:r>
      <w:r>
        <w:rPr>
          <w:i/>
        </w:rPr>
        <w:t xml:space="preserve">Toni 1 Trust</w:t>
      </w:r>
      <w:r>
        <w:t xml:space="preserve"> </w:t>
      </w:r>
      <w:r>
        <w:t xml:space="preserve">bridge-trust posture). The holding LLC is the family master entity, sitting above the operating LLCs. Operating Agreement drafted bespoke — not LegalZoom boilerplate — with charging-order-exclusive-remedy language, transfer restrictions, manager-override provisions, and buy-sell integration. Corporate Transparency Act beneficial-ownership reporting to FinCEN filed per 31 U.S.C. § 5336. Registered-agent service set up. EIN obtained. Bank account opened in the entity’s name. Capitalization documented.</w:t>
      </w:r>
    </w:p>
    <w:p>
      <w:pPr>
        <w:numPr>
          <w:ilvl w:val="0"/>
          <w:numId w:val="1004"/>
        </w:numPr>
      </w:pPr>
      <w:r>
        <w:rPr>
          <w:b/>
        </w:rPr>
        <w:t xml:space="preserve">California Operating LLC(s) for Rental Portfolio</w:t>
      </w:r>
      <w:r>
        <w:t xml:space="preserve"> </w:t>
      </w:r>
      <w:r>
        <w:t xml:space="preserve">— one California LLC per rental property (or, for large portfolios, a holding-and-operating structure with one LLC per property as operating subsidiaries of the Wyoming holding). Bespoke Operating Agreement. California Statement of Information filed. Franchise Tax Board account established ($800 minimum franchise tax understood). EIN obtained. Bank account opened. If the client currently owns rentals individually, the re-titling sequence — from individual to LLC — is managed and tracked by Genesis with Shawn’s legal sign-off on each deed and assignment. Title insurance re-issued at each transfer. Lender notification where required (often a Garn-St. Germain safe-harbor issue for one-to-four-unit residences; commercial notes are analyzed case-by-case for due-on-sale exposure). Insurance endorsement updated on each policy so the named insured matches the new titling.</w:t>
      </w:r>
    </w:p>
    <w:p>
      <w:pPr>
        <w:numPr>
          <w:ilvl w:val="0"/>
          <w:numId w:val="1004"/>
        </w:numPr>
      </w:pPr>
      <w:r>
        <w:rPr>
          <w:b/>
        </w:rPr>
        <w:t xml:space="preserve">Asset Protection Memo with Risk-Stratified Recommendations</w:t>
      </w:r>
      <w:r>
        <w:t xml:space="preserve"> </w:t>
      </w:r>
      <w:r>
        <w:t xml:space="preserve">— a written memo delivered to the client, signed by Shawn as attorney of record. Risk-stratifies the family’s exposure by asset class (primary residence, rental portfolio, retirement accounts, brokerage, business interests, vehicles, boats, digital assets). For each class, states the current protection, the recommended protection, the instrument required, the cost, the timeline, and the dependencies. Flags every UVTA § 4 badge of fraud that could be raised against any proposed transfer and documents the solvency and clean-window findings that defeat those badges. Addresses the</w:t>
      </w:r>
      <w:r>
        <w:t xml:space="preserve"> </w:t>
      </w:r>
      <w:r>
        <w:rPr>
          <w:i/>
        </w:rPr>
        <w:t xml:space="preserve">Toni 1 Trust</w:t>
      </w:r>
      <w:r>
        <w:t xml:space="preserve"> </w:t>
      </w:r>
      <w:r>
        <w:t xml:space="preserve">risk if any out-of-state DAPT layer is proposed. Addresses the California single-member-LLC charging-order weakness (the</w:t>
      </w:r>
      <w:r>
        <w:t xml:space="preserve"> </w:t>
      </w:r>
      <w:r>
        <w:rPr>
          <w:i/>
        </w:rPr>
        <w:t xml:space="preserve">Olmstead</w:t>
      </w:r>
      <w:r>
        <w:t xml:space="preserve"> </w:t>
      </w:r>
      <w:r>
        <w:t xml:space="preserve">doctrine’s California echo under Corp. Code § 17705.03, which is non-exclusive — foreclosure after</w:t>
      </w:r>
      <w:r>
        <w:t xml:space="preserve"> </w:t>
      </w:r>
      <w:r>
        <w:t xml:space="preserve">“</w:t>
      </w:r>
      <w:r>
        <w:t xml:space="preserve">reasonable time</w:t>
      </w:r>
      <w:r>
        <w:t xml:space="preserve">”</w:t>
      </w:r>
      <w:r>
        <w:t xml:space="preserve">). Recommends a second member (often a separate trust or a spouse) in every operating LLC so the charging-order protection holds. Delivers a risk-stratified roadmap with pricing, not a scare story.</w:t>
      </w:r>
    </w:p>
    <w:p>
      <w:pPr>
        <w:numPr>
          <w:ilvl w:val="0"/>
          <w:numId w:val="1004"/>
        </w:numPr>
      </w:pPr>
      <w:r>
        <w:rPr>
          <w:b/>
        </w:rPr>
        <w:t xml:space="preserve">Umbrella Insurance Review and Recommendations</w:t>
      </w:r>
      <w:r>
        <w:t xml:space="preserve"> </w:t>
      </w:r>
      <w:r>
        <w:t xml:space="preserve">— every Tier 2 client gets their existing auto, homeowners, landlord, and umbrella policies read cover-to-cover. Gaps flagged. Genesis’s Insurance Coverage Gap Analyzer produces a written report: current limits, recommended limits ($5M minimum personal umbrella for this net-worth band, often $5M–$10M; $5M–$25M commercial umbrella on the rental portfolio), scheduled-underlying compliance (every rental and the primary must be listed as a scheduled underlying or the umbrella is illusory), short-term-rental endorsements (if any property is on Airbnb/VRBO, the underlying policy is almost certainly wrong and must be converted to a commercial dwelling policy), dog-breed exclusions, water-backup exclusions, and every other common failure mode. Broker introductions made if the client needs a new carrier. Insurance is the first and most affordable line of defense — every dollar spent on entity structuring after the insurance layer is wrong is wasted.</w:t>
      </w:r>
    </w:p>
    <w:p>
      <w:pPr>
        <w:numPr>
          <w:ilvl w:val="0"/>
          <w:numId w:val="1004"/>
        </w:numPr>
      </w:pPr>
      <w:r>
        <w:rPr>
          <w:b/>
        </w:rPr>
        <w:t xml:space="preserve">Coordination with CPA on S-Corp or Disregarded-Entity Elections</w:t>
      </w:r>
      <w:r>
        <w:t xml:space="preserve"> </w:t>
      </w:r>
      <w:r>
        <w:t xml:space="preserve">— for any operating LLC or business entity, the federal tax-classification election is analyzed. Single-member LLC default disregarded-entity status for rental real estate. Multi-member LLC partnership default. S-corp election (Form 2553) for operating businesses where the payroll-tax savings justify the additional compliance. C-corp for businesses with retained-earnings or benefit-plan drivers. Coordination letter to the client’s CPA (or, if the client needs one, Vince’s trusted CPA referrals). The actual filings — Form 2553, EIN applications, state tax registrations — are handled.</w:t>
      </w:r>
    </w:p>
    <w:p>
      <w:pPr>
        <w:numPr>
          <w:ilvl w:val="0"/>
          <w:numId w:val="1004"/>
        </w:numPr>
      </w:pPr>
      <w:r>
        <w:rPr>
          <w:b/>
        </w:rPr>
        <w:t xml:space="preserve">Shawn Olson Sign-Off on All Structural Documents</w:t>
      </w:r>
      <w:r>
        <w:t xml:space="preserve"> </w:t>
      </w:r>
      <w:r>
        <w:t xml:space="preserve">— every LLC formation, every land trust, every deed, every assignment, every operating agreement, every asset-protection memo, and every coordination letter is reviewed and signed off by Shawn. The attorney-client relationship exists between client and Shawn. Genesis produces the drafting; Shawn applies legal judgment and attorney supervision per CRPC 5.3.</w:t>
      </w:r>
    </w:p>
    <w:p>
      <w:pPr>
        <w:pStyle w:val="Heading2"/>
      </w:pPr>
      <w:bookmarkStart w:id="32" w:name="genesis-ai-leverage-applied-1"/>
      <w:r>
        <w:t xml:space="preserve">Genesis AI Leverage Applied</w:t>
      </w:r>
      <w:bookmarkEnd w:id="32"/>
    </w:p>
    <w:p>
      <w:pPr>
        <w:pStyle w:val="FirstParagraph"/>
      </w:pPr>
      <w:r>
        <w:t xml:space="preserve">Tier 2 is where the Genesis leverage starts to compound. A boutique California asset-protection firm would quote $15,000 – $25,000 for comparable work and would deliver most of it slowly because their associates do the research and drafting manually. Genesis performs the full intake — asset inventory, Neo4j funding graph, jurisdictional analysis for the holding LLC, land trust drafting from the AB Legacy template, operating-agreement customization from the bespoke library, UVTA fraudulent-transfer-exposure analysis with the client’s solvency documented in writing at the moment of each transfer, insurance-gap analysis from the client’s declarations pages — in a fraction of the time. Shawn’s review focus is where it should be: judgment, attorney standard of care, signature, and supervision. The client gets the depth. Shawn gets the leverage. Vince gets a repeatable premium product.</w:t>
      </w:r>
    </w:p>
    <w:p>
      <w:pPr>
        <w:pStyle w:val="BodyText"/>
      </w:pPr>
      <w:r>
        <w:t xml:space="preserve">Every Tier 2 deliverable is wired into Genesis’s continuous monitoring for the first year, and optionally for longer under subscription (see Pricing Rationale for the $299/month Tier 2 subscription). Continuous monitoring at Tier 2 includes: LLC annual-report deadlines, California Statement of Information renewals, registered-agent fee reminders, CTA beneficial-ownership update triggers (30 days from any ownership change), insurance renewal audits, lease-expiration watches on every rental, property-tax-reassessment trigger monitoring (especially Prop 19 parent-child exclusion windows), UVTA four-year clean-window countdowns for every transfer made during the engagement, and funding-gap alerts.</w:t>
      </w:r>
    </w:p>
    <w:p>
      <w:pPr>
        <w:pStyle w:val="Heading2"/>
      </w:pPr>
      <w:bookmarkStart w:id="33" w:name="shawn-olsons-role-explicit-map-1"/>
      <w:r>
        <w:t xml:space="preserve">Shawn Olson’s Role (Explicit Map)</w:t>
      </w:r>
      <w:bookmarkEnd w:id="33"/>
    </w:p>
    <w:p>
      <w:pPr>
        <w:numPr>
          <w:ilvl w:val="0"/>
          <w:numId w:val="1005"/>
        </w:numPr>
        <w:pStyle w:val="Compact"/>
      </w:pPr>
      <w:r>
        <w:t xml:space="preserve">Reviews and signs off on every legal instrument — land trust, operating agreements, assignments, deeds, POA, wills, directives, asset-protection memo.</w:t>
      </w:r>
    </w:p>
    <w:p>
      <w:pPr>
        <w:numPr>
          <w:ilvl w:val="0"/>
          <w:numId w:val="1005"/>
        </w:numPr>
        <w:pStyle w:val="Compact"/>
      </w:pPr>
      <w:r>
        <w:t xml:space="preserve">Applies legal judgment on every jurisdictional choice (California vs. Wyoming vs. Nevada vs. Delaware).</w:t>
      </w:r>
    </w:p>
    <w:p>
      <w:pPr>
        <w:numPr>
          <w:ilvl w:val="0"/>
          <w:numId w:val="1005"/>
        </w:numPr>
        <w:pStyle w:val="Compact"/>
      </w:pPr>
      <w:r>
        <w:t xml:space="preserve">Applies legal judgment on every UVTA clean-window determination.</w:t>
      </w:r>
    </w:p>
    <w:p>
      <w:pPr>
        <w:numPr>
          <w:ilvl w:val="0"/>
          <w:numId w:val="1005"/>
        </w:numPr>
        <w:pStyle w:val="Compact"/>
      </w:pPr>
      <w:r>
        <w:t xml:space="preserve">Conducts will and trust execution ceremonies; notarizes or has notarized; records deeds.</w:t>
      </w:r>
    </w:p>
    <w:p>
      <w:pPr>
        <w:numPr>
          <w:ilvl w:val="0"/>
          <w:numId w:val="1005"/>
        </w:numPr>
        <w:pStyle w:val="Compact"/>
      </w:pPr>
      <w:r>
        <w:t xml:space="preserve">Advises client on every judgment call.</w:t>
      </w:r>
    </w:p>
    <w:p>
      <w:pPr>
        <w:numPr>
          <w:ilvl w:val="0"/>
          <w:numId w:val="1005"/>
        </w:numPr>
        <w:pStyle w:val="Compact"/>
      </w:pPr>
      <w:r>
        <w:t xml:space="preserve">Signs the asset-protection memo as attorney of record.</w:t>
      </w:r>
    </w:p>
    <w:p>
      <w:pPr>
        <w:numPr>
          <w:ilvl w:val="0"/>
          <w:numId w:val="1005"/>
        </w:numPr>
        <w:pStyle w:val="Compact"/>
      </w:pPr>
      <w:r>
        <w:t xml:space="preserve">Carries professional liability insurance covering the legal work.</w:t>
      </w:r>
    </w:p>
    <w:p>
      <w:pPr>
        <w:numPr>
          <w:ilvl w:val="0"/>
          <w:numId w:val="1005"/>
        </w:numPr>
        <w:pStyle w:val="Compact"/>
      </w:pPr>
      <w:r>
        <w:t xml:space="preserve">Represents the client on any follow-up legal question that arises within twelve months of engagement.</w:t>
      </w:r>
    </w:p>
    <w:p>
      <w:pPr>
        <w:pStyle w:val="Heading2"/>
      </w:pPr>
      <w:bookmarkStart w:id="34" w:name="competition-comparison-1"/>
      <w:r>
        <w:t xml:space="preserve">Competition Comparison</w:t>
      </w:r>
      <w:bookmarkEnd w:id="34"/>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Provider</w:t>
            </w:r>
          </w:p>
        </w:tc>
        <w:tc>
          <w:tcPr>
            <w:tcBorders>
              <w:bottom w:val="single"/>
            </w:tcBorders>
            <w:vAlign w:val="bottom"/>
          </w:tcPr>
          <w:p>
            <w:pPr>
              <w:pStyle w:val="Compact"/>
              <w:jc w:val="left"/>
            </w:pPr>
            <w:r>
              <w:t xml:space="preserve">Comparable Offering</w:t>
            </w:r>
          </w:p>
        </w:tc>
        <w:tc>
          <w:tcPr>
            <w:tcBorders>
              <w:bottom w:val="single"/>
            </w:tcBorders>
            <w:vAlign w:val="bottom"/>
          </w:tcPr>
          <w:p>
            <w:pPr>
              <w:pStyle w:val="Compact"/>
              <w:jc w:val="left"/>
            </w:pPr>
            <w:r>
              <w:t xml:space="preserve">Price</w:t>
            </w:r>
          </w:p>
        </w:tc>
      </w:tr>
      <w:tr>
        <w:tc>
          <w:p>
            <w:pPr>
              <w:pStyle w:val="Compact"/>
              <w:jc w:val="left"/>
            </w:pPr>
            <w:r>
              <w:rPr>
                <w:b/>
              </w:rPr>
              <w:t xml:space="preserve">Anderson Business Advisors / Scott Smith / Royal Legal (mass-market RE)</w:t>
            </w:r>
          </w:p>
        </w:tc>
        <w:tc>
          <w:p>
            <w:pPr>
              <w:pStyle w:val="Compact"/>
              <w:jc w:val="left"/>
            </w:pPr>
            <w:r>
              <w:t xml:space="preserve">Wyoming + CA LLC + land trust template package</w:t>
            </w:r>
          </w:p>
        </w:tc>
        <w:tc>
          <w:p>
            <w:pPr>
              <w:pStyle w:val="Compact"/>
              <w:jc w:val="left"/>
            </w:pPr>
            <w:r>
              <w:t xml:space="preserve">$5,000 – $12,000</w:t>
            </w:r>
          </w:p>
        </w:tc>
      </w:tr>
      <w:tr>
        <w:tc>
          <w:p>
            <w:pPr>
              <w:pStyle w:val="Compact"/>
              <w:jc w:val="left"/>
            </w:pPr>
            <w:r>
              <w:rPr>
                <w:b/>
              </w:rPr>
              <w:t xml:space="preserve">Typical California asset-protection attorney</w:t>
            </w:r>
          </w:p>
        </w:tc>
        <w:tc>
          <w:p>
            <w:pPr>
              <w:pStyle w:val="Compact"/>
              <w:jc w:val="left"/>
            </w:pPr>
            <w:r>
              <w:t xml:space="preserve">Comparable stack, bespoke drafting, no monitoring</w:t>
            </w:r>
          </w:p>
        </w:tc>
        <w:tc>
          <w:p>
            <w:pPr>
              <w:pStyle w:val="Compact"/>
              <w:jc w:val="left"/>
            </w:pPr>
            <w:r>
              <w:t xml:space="preserve">$15,000 – $25,000</w:t>
            </w:r>
          </w:p>
        </w:tc>
      </w:tr>
      <w:tr>
        <w:tc>
          <w:p>
            <w:pPr>
              <w:pStyle w:val="Compact"/>
              <w:jc w:val="left"/>
            </w:pPr>
            <w:r>
              <w:rPr>
                <w:b/>
              </w:rPr>
              <w:t xml:space="preserve">Boutique firm (Adkisson, Oshins tier)</w:t>
            </w:r>
          </w:p>
        </w:tc>
        <w:tc>
          <w:p>
            <w:pPr>
              <w:pStyle w:val="Compact"/>
              <w:jc w:val="left"/>
            </w:pPr>
            <w:r>
              <w:t xml:space="preserve">Premium stack with DAPT</w:t>
            </w:r>
          </w:p>
        </w:tc>
        <w:tc>
          <w:p>
            <w:pPr>
              <w:pStyle w:val="Compact"/>
              <w:jc w:val="left"/>
            </w:pPr>
            <w:r>
              <w:t xml:space="preserve">$25,000 – $75,000</w:t>
            </w:r>
          </w:p>
        </w:tc>
      </w:tr>
      <w:tr>
        <w:tc>
          <w:p>
            <w:pPr>
              <w:pStyle w:val="Compact"/>
              <w:jc w:val="left"/>
            </w:pPr>
            <w:r>
              <w:rPr>
                <w:b/>
              </w:rPr>
              <w:t xml:space="preserve">Genesis AB Legacy (Tier 2)</w:t>
            </w:r>
          </w:p>
        </w:tc>
        <w:tc>
          <w:p>
            <w:pPr>
              <w:pStyle w:val="Compact"/>
              <w:jc w:val="left"/>
            </w:pPr>
            <w:r>
              <w:t xml:space="preserve">Boutique-quality stack + continuous monitoring + Kingdom framing</w:t>
            </w:r>
          </w:p>
        </w:tc>
        <w:tc>
          <w:p>
            <w:pPr>
              <w:pStyle w:val="Compact"/>
              <w:jc w:val="left"/>
            </w:pPr>
            <w:r>
              <w:t xml:space="preserve">$7,500 – $15,000</w:t>
            </w:r>
          </w:p>
        </w:tc>
      </w:tr>
    </w:tbl>
    <w:p>
      <w:pPr>
        <w:pStyle w:val="Heading2"/>
      </w:pPr>
      <w:bookmarkStart w:id="35" w:name="X7645abef363126dceb9ef6a89f041083999b2fc"/>
      <w:r>
        <w:t xml:space="preserve">What Categorically Differentiates Genesis at Tier 2</w:t>
      </w:r>
      <w:bookmarkEnd w:id="35"/>
    </w:p>
    <w:p>
      <w:pPr>
        <w:numPr>
          <w:ilvl w:val="0"/>
          <w:numId w:val="1006"/>
        </w:numPr>
        <w:pStyle w:val="Compact"/>
      </w:pPr>
      <w:r>
        <w:rPr>
          <w:b/>
        </w:rPr>
        <w:t xml:space="preserve">The Funding Graph at multi-entity scale.</w:t>
      </w:r>
      <w:r>
        <w:t xml:space="preserve"> </w:t>
      </w:r>
      <w:r>
        <w:t xml:space="preserve">Every property, every entity, every beneficial-interest assignment, every lien, every policy, every tenant, every deadline lives as a live node. Nothing slips.</w:t>
      </w:r>
    </w:p>
    <w:p>
      <w:pPr>
        <w:numPr>
          <w:ilvl w:val="0"/>
          <w:numId w:val="1006"/>
        </w:numPr>
        <w:pStyle w:val="Compact"/>
      </w:pPr>
      <w:r>
        <w:rPr>
          <w:b/>
        </w:rPr>
        <w:t xml:space="preserve">The Fraudulent-Transfer Detector.</w:t>
      </w:r>
      <w:r>
        <w:t xml:space="preserve"> </w:t>
      </w:r>
      <w:r>
        <w:t xml:space="preserve">Every transfer is scored against UVTA § 4 badges before it is executed. Solvency documented at each moment of transfer. The clean-window countdown is visible to the client and to Shawn.</w:t>
      </w:r>
    </w:p>
    <w:p>
      <w:pPr>
        <w:numPr>
          <w:ilvl w:val="0"/>
          <w:numId w:val="1006"/>
        </w:numPr>
        <w:pStyle w:val="Compact"/>
      </w:pPr>
      <w:r>
        <w:rPr>
          <w:b/>
        </w:rPr>
        <w:t xml:space="preserve">The AB Legacy Trust template.</w:t>
      </w:r>
      <w:r>
        <w:t xml:space="preserve"> </w:t>
      </w:r>
      <w:r>
        <w:t xml:space="preserve">A California-compliant land trust instrument built to senior-partner depth — already drafted, battle-tested, and ready to deploy on day one. No other firm in Huntington Beach has anything comparable at this price.</w:t>
      </w:r>
    </w:p>
    <w:p>
      <w:pPr>
        <w:numPr>
          <w:ilvl w:val="0"/>
          <w:numId w:val="1006"/>
        </w:numPr>
        <w:pStyle w:val="Compact"/>
      </w:pPr>
      <w:r>
        <w:rPr>
          <w:b/>
        </w:rPr>
        <w:t xml:space="preserve">Insurance Coverage Gap Analyzer.</w:t>
      </w:r>
      <w:r>
        <w:t xml:space="preserve"> </w:t>
      </w:r>
      <w:r>
        <w:t xml:space="preserve">The most expensive failures in asset protection are insurance gaps the client never knew existed. Genesis reads the declarations pages and flags them.</w:t>
      </w:r>
    </w:p>
    <w:p>
      <w:pPr>
        <w:numPr>
          <w:ilvl w:val="0"/>
          <w:numId w:val="1006"/>
        </w:numPr>
        <w:pStyle w:val="Compact"/>
      </w:pPr>
      <w:r>
        <w:rPr>
          <w:b/>
        </w:rPr>
        <w:t xml:space="preserve">Continuous monitoring.</w:t>
      </w:r>
      <w:r>
        <w:t xml:space="preserve"> </w:t>
      </w:r>
      <w:r>
        <w:t xml:space="preserve">Every other provider hands over paper and disappears. Genesis watches every deadline, every renewal, every trigger event, every statutory amendment.</w:t>
      </w:r>
    </w:p>
    <w:p>
      <w:r>
        <w:pict>
          <v:rect style="width:0;height:1.5pt" o:hralign="center" o:hrstd="t" o:hr="t"/>
        </w:pict>
      </w:r>
    </w:p>
    <w:p>
      <w:pPr>
        <w:pStyle w:val="Heading1"/>
      </w:pPr>
      <w:bookmarkStart w:id="36" w:name="tier-3-the-legacy"/>
      <w:r>
        <w:t xml:space="preserve">TIER 3 — THE LEGACY</w:t>
      </w:r>
      <w:bookmarkEnd w:id="36"/>
    </w:p>
    <w:p>
      <w:pPr>
        <w:pStyle w:val="FirstParagraph"/>
      </w:pPr>
      <w:r>
        <w:rPr>
          <w:b/>
        </w:rPr>
        <w:t xml:space="preserve">Price:</w:t>
      </w:r>
      <w:r>
        <w:t xml:space="preserve"> </w:t>
      </w:r>
      <w:r>
        <w:t xml:space="preserve">$15,000 – $40,000+ (flat fee setup, plus subscription — see Pricing Rationale)</w:t>
      </w:r>
      <w:r>
        <w:t xml:space="preserve"> </w:t>
      </w:r>
      <w:r>
        <w:rPr>
          <w:b/>
        </w:rPr>
        <w:t xml:space="preserve">Timeline:</w:t>
      </w:r>
      <w:r>
        <w:t xml:space="preserve"> </w:t>
      </w:r>
      <w:r>
        <w:t xml:space="preserve">90 – 180 days from signed engagement to fully executed architecture; ongoing stewardship thereafter</w:t>
      </w:r>
      <w:r>
        <w:t xml:space="preserve"> </w:t>
      </w:r>
      <w:r>
        <w:rPr>
          <w:b/>
        </w:rPr>
        <w:t xml:space="preserve">Who it is for:</w:t>
      </w:r>
      <w:r>
        <w:t xml:space="preserve"> </w:t>
      </w:r>
      <w:r>
        <w:t xml:space="preserve">California families with net worth between approximately $10 million and $50 million-plus. Investors with five or more rental properties. Business owners with a liquidity event on the horizon. Families facing the 2026 federal-estate-tax exemption reduction (scheduled to drop roughly in half on January 1, 2026) who have meaningful exposure between $7M and $28M per person and need SLAT, ILIT, or other lifetime-gift structures funded before the exemption falls. Families who want a Family OS — not just a trust binder, but a multi-generational stewardship architecture.</w:t>
      </w:r>
    </w:p>
    <w:p>
      <w:pPr>
        <w:pStyle w:val="Heading2"/>
      </w:pPr>
      <w:bookmarkStart w:id="37" w:name="what-the-client-gets-2"/>
      <w:r>
        <w:t xml:space="preserve">What the Client Gets</w:t>
      </w:r>
      <w:bookmarkEnd w:id="37"/>
    </w:p>
    <w:p>
      <w:pPr>
        <w:pStyle w:val="FirstParagraph"/>
      </w:pPr>
      <w:r>
        <w:t xml:space="preserve">Everything in Tier 1 and Tier 2, plus the following:</w:t>
      </w:r>
    </w:p>
    <w:p>
      <w:pPr>
        <w:numPr>
          <w:ilvl w:val="0"/>
          <w:numId w:val="1007"/>
        </w:numPr>
      </w:pPr>
      <w:r>
        <w:rPr>
          <w:b/>
        </w:rPr>
        <w:t xml:space="preserve">Multiple Land Trusts (up to 5 properties)</w:t>
      </w:r>
      <w:r>
        <w:t xml:space="preserve"> </w:t>
      </w:r>
      <w:r>
        <w:t xml:space="preserve">— one land trust per property, each modeled on the AB Legacy Trust master. Each with its own trustee, its own beneficial-interest structure, its own LLC owner, each flowing up into the holding entity. For investors beyond five properties, the structure extends with per-property land trusts held by a Series LLC cell (where the host state recognizes it — Nevada or Delaware Series LLC, with California Franchise Tax Board treatment documented explicitly; California does not recognize Series LLCs and treats each cell as a separate entity for franchise-tax purposes, so the structure is designed around that limitation rather than against it).</w:t>
      </w:r>
    </w:p>
    <w:p>
      <w:pPr>
        <w:numPr>
          <w:ilvl w:val="0"/>
          <w:numId w:val="1007"/>
        </w:numPr>
      </w:pPr>
      <w:r>
        <w:rPr>
          <w:b/>
        </w:rPr>
        <w:t xml:space="preserve">Irrevocable Trust (SLAT, or Asset Protection Trust)</w:t>
      </w:r>
      <w:r>
        <w:t xml:space="preserve"> </w:t>
      </w:r>
      <w:r>
        <w:t xml:space="preserve">— at least one irrevocable structure chosen based on the family’s objectives:</w:t>
      </w:r>
    </w:p>
    <w:p>
      <w:pPr>
        <w:numPr>
          <w:ilvl w:val="1"/>
          <w:numId w:val="1008"/>
        </w:numPr>
        <w:pStyle w:val="Compact"/>
      </w:pPr>
      <w:r>
        <w:rPr>
          <w:b/>
        </w:rPr>
        <w:t xml:space="preserve">Spousal Lifetime Access Trust (SLAT)</w:t>
      </w:r>
      <w:r>
        <w:t xml:space="preserve"> </w:t>
      </w:r>
      <w:r>
        <w:t xml:space="preserve">— the workhorse lifetime-gift structure for 2025–2026 exemption usage. One spouse grants, the other spouse is the discretionary beneficiary, the gift is out of the grantor’s estate and out of the grantor’s creditors’ reach, but the grantor’s family retains indirect access through the spouse. Funded before the exemption falls. Reciprocal-trust doctrine carefully avoided — the two spouses’ SLATs are drafted with meaningful distinctions in distribution standards, timing, and trustee identity to defeat any IRS</w:t>
      </w:r>
      <w:r>
        <w:t xml:space="preserve"> </w:t>
      </w:r>
      <w:r>
        <w:rPr>
          <w:i/>
        </w:rPr>
        <w:t xml:space="preserve">Estate of Grace</w:t>
      </w:r>
      <w:r>
        <w:t xml:space="preserve"> </w:t>
      </w:r>
      <w:r>
        <w:t xml:space="preserve">challenge. IDGT grantor-trust status elected so income-tax burn moves appreciation out of the estate without additional gift tax.</w:t>
      </w:r>
    </w:p>
    <w:p>
      <w:pPr>
        <w:numPr>
          <w:ilvl w:val="1"/>
          <w:numId w:val="1008"/>
        </w:numPr>
        <w:pStyle w:val="Compact"/>
      </w:pPr>
      <w:r>
        <w:rPr>
          <w:b/>
        </w:rPr>
        <w:t xml:space="preserve">Nevada or South Dakota Domestic Asset Protection Trust (DAPT)</w:t>
      </w:r>
      <w:r>
        <w:t xml:space="preserve"> </w:t>
      </w:r>
      <w:r>
        <w:t xml:space="preserve">— a self-settled spendthrift trust in the strongest DAPT jurisdiction (Nevada’s two-year fraudulent-transfer lookback, South Dakota’s perpetual duration and robust trust-protector law). Independent qualified trustee (South Dakota Trust Company, Bridgeford Trust, Alliance Trust of Nevada).</w:t>
      </w:r>
      <w:r>
        <w:t xml:space="preserve"> </w:t>
      </w:r>
      <w:r>
        <w:rPr>
          <w:i/>
        </w:rPr>
        <w:t xml:space="preserve">Toni 1 Trust</w:t>
      </w:r>
      <w:r>
        <w:t xml:space="preserve"> </w:t>
      </w:r>
      <w:r>
        <w:t xml:space="preserve">risk fully disclosed. Bridge-trust architecture optional — flee clauses enabling migration to Cook Islands or Nevis if a specified trigger fires.</w:t>
      </w:r>
    </w:p>
    <w:p>
      <w:pPr>
        <w:numPr>
          <w:ilvl w:val="1"/>
          <w:numId w:val="1008"/>
        </w:numPr>
        <w:pStyle w:val="Compact"/>
      </w:pPr>
      <w:r>
        <w:rPr>
          <w:b/>
        </w:rPr>
        <w:t xml:space="preserve">Qualified Personal Residence Trust (QPRT)</w:t>
      </w:r>
      <w:r>
        <w:t xml:space="preserve"> </w:t>
      </w:r>
      <w:r>
        <w:t xml:space="preserve">— for the family primary residence, a term-of-years irrevocable trust freezing the gift-tax valuation at today’s discounted remainder while the grantors continue to live there rent-free for the term. Post-term fair-market rent arrangement drafted in advance.</w:t>
      </w:r>
    </w:p>
    <w:p>
      <w:pPr>
        <w:numPr>
          <w:ilvl w:val="0"/>
          <w:numId w:val="1007"/>
        </w:numPr>
      </w:pPr>
      <w:r>
        <w:rPr>
          <w:b/>
        </w:rPr>
        <w:t xml:space="preserve">Generation-Skipping Trust Planning (if above GST exemption)</w:t>
      </w:r>
      <w:r>
        <w:t xml:space="preserve"> </w:t>
      </w:r>
      <w:r>
        <w:t xml:space="preserve">— for families whose cumulative taxable gifts and estate exceed the GST exemption ($13.61M in 2024, dropping to roughly $7M on January 1, 2026 unless Congress extends), explicit GST allocation (IRC § 2632), automatic-allocation election or opt-out, grandchild-level trust structure with dynasty provisions where appropriate, coordination with state-level GST rules in any jurisdiction where a trust has situs.</w:t>
      </w:r>
    </w:p>
    <w:p>
      <w:pPr>
        <w:numPr>
          <w:ilvl w:val="0"/>
          <w:numId w:val="1007"/>
        </w:numPr>
      </w:pPr>
      <w:r>
        <w:rPr>
          <w:b/>
        </w:rPr>
        <w:t xml:space="preserve">Family Governance Document (Family Constitution)</w:t>
      </w:r>
      <w:r>
        <w:t xml:space="preserve"> </w:t>
      </w:r>
      <w:r>
        <w:t xml:space="preserve">— a non-legal, non-binding stewardship instrument drafted by Vince and Genesis (NOT legal advice, NOT an instrument Shawn signs as attorney — see UPL framework). Captures family values, decision rights, how heirs will be prepared to receive wealth without being destroyed by it, how major family decisions will be made across generations, how disputes among heirs will be resolved, how the family engages philanthropy, and how the Kingdom framing is applied to stewardship across the generations. Deuteronomy 6, Proverbs 3, 13, and 22, the patriarchal-blessing pattern of Genesis 49 inform the framework. This is the piece no estate-planning attorney produces and no family-office coordinator delivers with genuine depth.</w:t>
      </w:r>
    </w:p>
    <w:p>
      <w:pPr>
        <w:numPr>
          <w:ilvl w:val="0"/>
          <w:numId w:val="1007"/>
        </w:numPr>
      </w:pPr>
      <w:r>
        <w:rPr>
          <w:b/>
        </w:rPr>
        <w:t xml:space="preserve">Kingdom-Framed Ethical Will / Legacy Letter</w:t>
      </w:r>
      <w:r>
        <w:t xml:space="preserve"> </w:t>
      </w:r>
      <w:r>
        <w:t xml:space="preserve">— a structured, written legacy letter from each senior family member to the next generation. Values, faith, lessons learned, blessings, specific personal messages to each named child and grandchild. Trigger-released — some portions delivered at the grantor’s death, others at specific heir milestones (age 18, marriage, first child, first business, crisis event). This is the</w:t>
      </w:r>
      <w:r>
        <w:t xml:space="preserve"> </w:t>
      </w:r>
      <w:r>
        <w:t xml:space="preserve">“</w:t>
      </w:r>
      <w:r>
        <w:t xml:space="preserve">Genesis 49</w:t>
      </w:r>
      <w:r>
        <w:t xml:space="preserve">”</w:t>
      </w:r>
      <w:r>
        <w:t xml:space="preserve"> </w:t>
      </w:r>
      <w:r>
        <w:t xml:space="preserve">deliverable — the patriarchal blessing translated into twenty-first-century form.</w:t>
      </w:r>
    </w:p>
    <w:p>
      <w:pPr>
        <w:numPr>
          <w:ilvl w:val="0"/>
          <w:numId w:val="1007"/>
        </w:numPr>
      </w:pPr>
      <w:r>
        <w:rPr>
          <w:b/>
        </w:rPr>
        <w:t xml:space="preserve">Digital Legacy Plan</w:t>
      </w:r>
      <w:r>
        <w:t xml:space="preserve"> </w:t>
      </w:r>
      <w:r>
        <w:t xml:space="preserve">— comprehensive: password-manager emergency access configured across 1Password/Bitwarden/LastPass/Dashlane, social-media legacy contacts configured across Facebook, Google, Apple, Microsoft, X, LinkedIn, cryptocurrency-seed-phrase succession protocol (Shamir’s Secret Sharing with fragments held by multiple parties, or multi-signature wallet with signing authority distributed, or institutional custody through Casa/Unchained/Anchorage), digital-asset inventory as a live Neo4j node set with monthly verification that every pathway still works, and RUFADAA-compliant fiduciary-access provisions baked into the will, trust, and POA.</w:t>
      </w:r>
    </w:p>
    <w:p>
      <w:pPr>
        <w:numPr>
          <w:ilvl w:val="0"/>
          <w:numId w:val="1007"/>
        </w:numPr>
      </w:pPr>
      <w:r>
        <w:rPr>
          <w:b/>
        </w:rPr>
        <w:t xml:space="preserve">Quarterly Review for First Year + Annual Thereafter with Genesis AI Continuous Monitoring</w:t>
      </w:r>
      <w:r>
        <w:t xml:space="preserve"> </w:t>
      </w:r>
      <w:r>
        <w:t xml:space="preserve">— four quarterly ninety-minute review sessions with Vince + Genesis in the first year, walking the client through every asset, every entity, every policy, every beneficiary, every tax position. Annual thereafter. Between reviews, Genesis watches everything in real time. Alerts surface the moment any material change occurs — a family member’s divorce, a child’s marriage, a business liquidity event, a policy renewal at bad terms, a statutory amendment that affects the structure, a new IRS revenue ruling, a California legislative change.</w:t>
      </w:r>
    </w:p>
    <w:p>
      <w:pPr>
        <w:numPr>
          <w:ilvl w:val="0"/>
          <w:numId w:val="1007"/>
        </w:numPr>
      </w:pPr>
      <w:r>
        <w:rPr>
          <w:b/>
        </w:rPr>
        <w:t xml:space="preserve">Full Anderson-Style Structure if Investor with 5+ Properties</w:t>
      </w:r>
      <w:r>
        <w:t xml:space="preserve"> </w:t>
      </w:r>
      <w:r>
        <w:t xml:space="preserve">— the complete real-estate-investor stack described in the</w:t>
      </w:r>
      <w:r>
        <w:t xml:space="preserve"> </w:t>
      </w:r>
      <w:r>
        <w:rPr>
          <w:rStyle w:val="VerbatimChar"/>
        </w:rPr>
        <w:t xml:space="preserve">wealth_re_asset_protection</w:t>
      </w:r>
      <w:r>
        <w:t xml:space="preserve"> </w:t>
      </w:r>
      <w:r>
        <w:t xml:space="preserve">research strand:</w:t>
      </w:r>
    </w:p>
    <w:p>
      <w:pPr>
        <w:numPr>
          <w:ilvl w:val="1"/>
          <w:numId w:val="1009"/>
        </w:numPr>
        <w:pStyle w:val="Compact"/>
      </w:pPr>
      <w:r>
        <w:t xml:space="preserve">Wyoming holding LLC (anonymous, member-managed by the family revocable trust).</w:t>
      </w:r>
    </w:p>
    <w:p>
      <w:pPr>
        <w:numPr>
          <w:ilvl w:val="1"/>
          <w:numId w:val="1009"/>
        </w:numPr>
        <w:pStyle w:val="Compact"/>
      </w:pPr>
      <w:r>
        <w:t xml:space="preserve">California operating LLCs (one per rental), second-member protected.</w:t>
      </w:r>
    </w:p>
    <w:p>
      <w:pPr>
        <w:numPr>
          <w:ilvl w:val="1"/>
          <w:numId w:val="1009"/>
        </w:numPr>
        <w:pStyle w:val="Compact"/>
      </w:pPr>
      <w:r>
        <w:t xml:space="preserve">California land trust titling on each rental with beneficial interest assigned to the operating LLC.</w:t>
      </w:r>
    </w:p>
    <w:p>
      <w:pPr>
        <w:numPr>
          <w:ilvl w:val="1"/>
          <w:numId w:val="1009"/>
        </w:numPr>
        <w:pStyle w:val="Compact"/>
      </w:pPr>
      <w:r>
        <w:t xml:space="preserve">Scheduled underlying coverage across every property on a $10M+ commercial umbrella.</w:t>
      </w:r>
    </w:p>
    <w:p>
      <w:pPr>
        <w:numPr>
          <w:ilvl w:val="1"/>
          <w:numId w:val="1009"/>
        </w:numPr>
        <w:pStyle w:val="Compact"/>
      </w:pPr>
      <w:r>
        <w:t xml:space="preserve">Equity-stripping on highly-appreciated rentals where the client has legitimate deployment for the cash (401(k) contributions, cash-value life insurance in an ILIT, DAPT funding).</w:t>
      </w:r>
    </w:p>
    <w:p>
      <w:pPr>
        <w:numPr>
          <w:ilvl w:val="1"/>
          <w:numId w:val="1009"/>
        </w:numPr>
        <w:pStyle w:val="Compact"/>
      </w:pPr>
      <w:r>
        <w:t xml:space="preserve">Captive insurance under IRC § 831(b) for families with sufficient premium volume — Tennessee or Vermont domicile, legitimate risk coverage, actuarially-defensible premiums, no Avrahami-style abuse.</w:t>
      </w:r>
    </w:p>
    <w:p>
      <w:pPr>
        <w:numPr>
          <w:ilvl w:val="1"/>
          <w:numId w:val="1009"/>
        </w:numPr>
        <w:pStyle w:val="Compact"/>
      </w:pPr>
      <w:r>
        <w:t xml:space="preserve">CRT (Charitable Remainder Trust) slot ready for any appreciated rental destined for eventual sale.</w:t>
      </w:r>
    </w:p>
    <w:p>
      <w:pPr>
        <w:numPr>
          <w:ilvl w:val="0"/>
          <w:numId w:val="1007"/>
        </w:numPr>
      </w:pPr>
      <w:r>
        <w:rPr>
          <w:b/>
        </w:rPr>
        <w:t xml:space="preserve">Shawn Olson as Trustee of Record for Privacy or as Protector on Irrevocable Structures</w:t>
      </w:r>
      <w:r>
        <w:t xml:space="preserve"> </w:t>
      </w:r>
      <w:r>
        <w:t xml:space="preserve">— where the client needs an attorney to serve as trustee of record for additional privacy (the trustee’s name appears on the recorded deed and in bank signature cards; the client’s name does not), Shawn serves in that capacity under a separate engagement letter that carves out the trustee role from the attorney role (or, where possible, uses an institutional trustee and Shawn serves as Trust Protector with removal and replacement powers). All compensation for this role is at fair market rate for actual services rendered, not tied to the client’s legal fee — compliance-safe under the analysis in the UPL Compliance Framework.</w:t>
      </w:r>
    </w:p>
    <w:p>
      <w:pPr>
        <w:pStyle w:val="Heading2"/>
      </w:pPr>
      <w:bookmarkStart w:id="38" w:name="genesis-ai-leverage-applied-2"/>
      <w:r>
        <w:t xml:space="preserve">Genesis AI Leverage Applied</w:t>
      </w:r>
      <w:bookmarkEnd w:id="38"/>
    </w:p>
    <w:p>
      <w:pPr>
        <w:pStyle w:val="FirstParagraph"/>
      </w:pPr>
      <w:r>
        <w:t xml:space="preserve">Tier 3 is where the Genesis architecture fully expresses itself. A comparable engagement at a boutique firm (Oshins, Adkisson, Rothschild, ForsterBoughman) would run $50,000 – $150,000+ for the setup alone and would deliver it over six to twelve months. An ACTEC-caliber firm would quote $75,000 – $250,000+. Genesis runs the intake, the entity-and-trust architecture, the GST-allocation modeling, the SLAT reciprocal-trust drafting, the QPRT valuation, the CRT comparative analysis, the insurance-stack design, the digital-legacy vault, the family-constitution facilitation, and the continuous monitoring setup in a compressed timeline at mid-market price, with Shawn applying legal judgment at every signature point. No firm in Southern California can match this quality at this price.</w:t>
      </w:r>
    </w:p>
    <w:p>
      <w:pPr>
        <w:pStyle w:val="Heading2"/>
      </w:pPr>
      <w:bookmarkStart w:id="39" w:name="shawn-olsons-role-explicit-map-2"/>
      <w:r>
        <w:t xml:space="preserve">Shawn Olson’s Role (Explicit Map)</w:t>
      </w:r>
      <w:bookmarkEnd w:id="39"/>
    </w:p>
    <w:p>
      <w:pPr>
        <w:numPr>
          <w:ilvl w:val="0"/>
          <w:numId w:val="1010"/>
        </w:numPr>
        <w:pStyle w:val="Compact"/>
      </w:pPr>
      <w:r>
        <w:t xml:space="preserve">Every Tier 1 and Tier 2 role extended to every additional instrument at Tier 3.</w:t>
      </w:r>
    </w:p>
    <w:p>
      <w:pPr>
        <w:numPr>
          <w:ilvl w:val="0"/>
          <w:numId w:val="1010"/>
        </w:numPr>
        <w:pStyle w:val="Compact"/>
      </w:pPr>
      <w:r>
        <w:t xml:space="preserve">Legal advice on SLAT reciprocal-trust doctrine (Estate of Grace) to ensure the two spouses’ SLATs are independently sustainable.</w:t>
      </w:r>
    </w:p>
    <w:p>
      <w:pPr>
        <w:numPr>
          <w:ilvl w:val="0"/>
          <w:numId w:val="1010"/>
        </w:numPr>
        <w:pStyle w:val="Compact"/>
      </w:pPr>
      <w:r>
        <w:t xml:space="preserve">Legal advice on DAPT jurisdiction selection (Nevada vs. South Dakota vs. Wyoming) with full</w:t>
      </w:r>
      <w:r>
        <w:t xml:space="preserve"> </w:t>
      </w:r>
      <w:r>
        <w:rPr>
          <w:i/>
        </w:rPr>
        <w:t xml:space="preserve">Toni 1 Trust</w:t>
      </w:r>
      <w:r>
        <w:t xml:space="preserve"> </w:t>
      </w:r>
      <w:r>
        <w:t xml:space="preserve">risk disclosure.</w:t>
      </w:r>
    </w:p>
    <w:p>
      <w:pPr>
        <w:numPr>
          <w:ilvl w:val="0"/>
          <w:numId w:val="1010"/>
        </w:numPr>
        <w:pStyle w:val="Compact"/>
      </w:pPr>
      <w:r>
        <w:t xml:space="preserve">Legal advice on QPRT mortality risk, post-term rent arrangement, and termination alternatives.</w:t>
      </w:r>
    </w:p>
    <w:p>
      <w:pPr>
        <w:numPr>
          <w:ilvl w:val="0"/>
          <w:numId w:val="1010"/>
        </w:numPr>
        <w:pStyle w:val="Compact"/>
      </w:pPr>
      <w:r>
        <w:t xml:space="preserve">Legal judgment on GST exemption allocation.</w:t>
      </w:r>
    </w:p>
    <w:p>
      <w:pPr>
        <w:numPr>
          <w:ilvl w:val="0"/>
          <w:numId w:val="1010"/>
        </w:numPr>
        <w:pStyle w:val="Compact"/>
      </w:pPr>
      <w:r>
        <w:t xml:space="preserve">Attorney of record on every irrevocable trust instrument.</w:t>
      </w:r>
    </w:p>
    <w:p>
      <w:pPr>
        <w:numPr>
          <w:ilvl w:val="0"/>
          <w:numId w:val="1010"/>
        </w:numPr>
        <w:pStyle w:val="Compact"/>
      </w:pPr>
      <w:r>
        <w:t xml:space="preserve">Supervising attorney for any captive-insurance formation.</w:t>
      </w:r>
    </w:p>
    <w:p>
      <w:pPr>
        <w:numPr>
          <w:ilvl w:val="0"/>
          <w:numId w:val="1010"/>
        </w:numPr>
        <w:pStyle w:val="Compact"/>
      </w:pPr>
      <w:r>
        <w:t xml:space="preserve">Separate engagement as trustee of record or trust protector where the client elects.</w:t>
      </w:r>
    </w:p>
    <w:p>
      <w:pPr>
        <w:numPr>
          <w:ilvl w:val="0"/>
          <w:numId w:val="1010"/>
        </w:numPr>
        <w:pStyle w:val="Compact"/>
      </w:pPr>
      <w:r>
        <w:t xml:space="preserve">Carries heightened professional liability coverage appropriate to Tier 3 complexity.</w:t>
      </w:r>
    </w:p>
    <w:p>
      <w:pPr>
        <w:pStyle w:val="Heading2"/>
      </w:pPr>
      <w:bookmarkStart w:id="40" w:name="competition-comparison-2"/>
      <w:r>
        <w:t xml:space="preserve">Competition Comparison</w:t>
      </w:r>
      <w:bookmarkEnd w:id="40"/>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Provider</w:t>
            </w:r>
          </w:p>
        </w:tc>
        <w:tc>
          <w:tcPr>
            <w:tcBorders>
              <w:bottom w:val="single"/>
            </w:tcBorders>
            <w:vAlign w:val="bottom"/>
          </w:tcPr>
          <w:p>
            <w:pPr>
              <w:pStyle w:val="Compact"/>
              <w:jc w:val="left"/>
            </w:pPr>
            <w:r>
              <w:t xml:space="preserve">Comparable Offering</w:t>
            </w:r>
          </w:p>
        </w:tc>
        <w:tc>
          <w:tcPr>
            <w:tcBorders>
              <w:bottom w:val="single"/>
            </w:tcBorders>
            <w:vAlign w:val="bottom"/>
          </w:tcPr>
          <w:p>
            <w:pPr>
              <w:pStyle w:val="Compact"/>
              <w:jc w:val="left"/>
            </w:pPr>
            <w:r>
              <w:t xml:space="preserve">Price</w:t>
            </w:r>
          </w:p>
        </w:tc>
      </w:tr>
      <w:tr>
        <w:tc>
          <w:p>
            <w:pPr>
              <w:pStyle w:val="Compact"/>
              <w:jc w:val="left"/>
            </w:pPr>
            <w:r>
              <w:rPr>
                <w:b/>
              </w:rPr>
              <w:t xml:space="preserve">ACTEC-caliber firms</w:t>
            </w:r>
          </w:p>
        </w:tc>
        <w:tc>
          <w:p>
            <w:pPr>
              <w:pStyle w:val="Compact"/>
              <w:jc w:val="left"/>
            </w:pPr>
            <w:r>
              <w:t xml:space="preserve">Full wealth architecture with dynasty planning</w:t>
            </w:r>
          </w:p>
        </w:tc>
        <w:tc>
          <w:p>
            <w:pPr>
              <w:pStyle w:val="Compact"/>
              <w:jc w:val="left"/>
            </w:pPr>
            <w:r>
              <w:t xml:space="preserve">$50,000 – $250,000+</w:t>
            </w:r>
          </w:p>
        </w:tc>
      </w:tr>
      <w:tr>
        <w:tc>
          <w:p>
            <w:pPr>
              <w:pStyle w:val="Compact"/>
              <w:jc w:val="left"/>
            </w:pPr>
            <w:r>
              <w:rPr>
                <w:b/>
              </w:rPr>
              <w:t xml:space="preserve">Boutique asset-protection (Oshins, Adkisson, Rothschild)</w:t>
            </w:r>
          </w:p>
        </w:tc>
        <w:tc>
          <w:p>
            <w:pPr>
              <w:pStyle w:val="Compact"/>
              <w:jc w:val="left"/>
            </w:pPr>
            <w:r>
              <w:t xml:space="preserve">Premium DAPT + SLAT + captive stack</w:t>
            </w:r>
          </w:p>
        </w:tc>
        <w:tc>
          <w:p>
            <w:pPr>
              <w:pStyle w:val="Compact"/>
              <w:jc w:val="left"/>
            </w:pPr>
            <w:r>
              <w:t xml:space="preserve">$50,000 – $150,000+</w:t>
            </w:r>
          </w:p>
        </w:tc>
      </w:tr>
      <w:tr>
        <w:tc>
          <w:p>
            <w:pPr>
              <w:pStyle w:val="Compact"/>
              <w:jc w:val="left"/>
            </w:pPr>
            <w:r>
              <w:rPr>
                <w:b/>
              </w:rPr>
              <w:t xml:space="preserve">Single-family office setup (traditional)</w:t>
            </w:r>
          </w:p>
        </w:tc>
        <w:tc>
          <w:p>
            <w:pPr>
              <w:pStyle w:val="Compact"/>
              <w:jc w:val="left"/>
            </w:pPr>
            <w:r>
              <w:t xml:space="preserve">Family OS with internal staff</w:t>
            </w:r>
          </w:p>
        </w:tc>
        <w:tc>
          <w:p>
            <w:pPr>
              <w:pStyle w:val="Compact"/>
              <w:jc w:val="left"/>
            </w:pPr>
            <w:r>
              <w:t xml:space="preserve">$500,000 – $5,000,000 setup + AUM fees</w:t>
            </w:r>
          </w:p>
        </w:tc>
      </w:tr>
      <w:tr>
        <w:tc>
          <w:p>
            <w:pPr>
              <w:pStyle w:val="Compact"/>
              <w:jc w:val="left"/>
            </w:pPr>
            <w:r>
              <w:rPr>
                <w:b/>
              </w:rPr>
              <w:t xml:space="preserve">Genesis AB Legacy (Tier 3)</w:t>
            </w:r>
          </w:p>
        </w:tc>
        <w:tc>
          <w:p>
            <w:pPr>
              <w:pStyle w:val="Compact"/>
              <w:jc w:val="left"/>
            </w:pPr>
            <w:r>
              <w:t xml:space="preserve">ACTEC-depth architecture + continuous monitoring + Kingdom Family OS</w:t>
            </w:r>
          </w:p>
        </w:tc>
        <w:tc>
          <w:p>
            <w:pPr>
              <w:pStyle w:val="Compact"/>
              <w:jc w:val="left"/>
            </w:pPr>
            <w:r>
              <w:t xml:space="preserve">$15,000 – $40,000+ setup + $999/month</w:t>
            </w:r>
          </w:p>
        </w:tc>
      </w:tr>
    </w:tbl>
    <w:p>
      <w:pPr>
        <w:pStyle w:val="Heading2"/>
      </w:pPr>
      <w:bookmarkStart w:id="41" w:name="X518f438b9cad705845887de9ada8adfc2b96eeb"/>
      <w:r>
        <w:t xml:space="preserve">What Categorically Differentiates Genesis at Tier 3</w:t>
      </w:r>
      <w:bookmarkEnd w:id="41"/>
    </w:p>
    <w:p>
      <w:pPr>
        <w:numPr>
          <w:ilvl w:val="0"/>
          <w:numId w:val="1011"/>
        </w:numPr>
        <w:pStyle w:val="Compact"/>
      </w:pPr>
      <w:r>
        <w:rPr>
          <w:b/>
        </w:rPr>
        <w:t xml:space="preserve">The Family OS — not just a trust.</w:t>
      </w:r>
      <w:r>
        <w:t xml:space="preserve"> </w:t>
      </w:r>
      <w:r>
        <w:t xml:space="preserve">Values, governance, heir education, ethical will, digital legacy, all integrated.</w:t>
      </w:r>
    </w:p>
    <w:p>
      <w:pPr>
        <w:numPr>
          <w:ilvl w:val="0"/>
          <w:numId w:val="1011"/>
        </w:numPr>
        <w:pStyle w:val="Compact"/>
      </w:pPr>
      <w:r>
        <w:rPr>
          <w:b/>
        </w:rPr>
        <w:t xml:space="preserve">Continuous multi-generational monitoring.</w:t>
      </w:r>
      <w:r>
        <w:t xml:space="preserve"> </w:t>
      </w:r>
      <w:r>
        <w:t xml:space="preserve">The stack is alive for decades, not paper filed at signing.</w:t>
      </w:r>
    </w:p>
    <w:p>
      <w:pPr>
        <w:numPr>
          <w:ilvl w:val="0"/>
          <w:numId w:val="1011"/>
        </w:numPr>
        <w:pStyle w:val="Compact"/>
      </w:pPr>
      <w:r>
        <w:rPr>
          <w:b/>
        </w:rPr>
        <w:t xml:space="preserve">2026 exemption-drop planning built in.</w:t>
      </w:r>
      <w:r>
        <w:t xml:space="preserve"> </w:t>
      </w:r>
      <w:r>
        <w:t xml:space="preserve">The SLAT funding window is narrow. Genesis watches the clock.</w:t>
      </w:r>
    </w:p>
    <w:p>
      <w:pPr>
        <w:numPr>
          <w:ilvl w:val="0"/>
          <w:numId w:val="1011"/>
        </w:numPr>
        <w:pStyle w:val="Compact"/>
      </w:pPr>
      <w:r>
        <w:rPr>
          <w:b/>
        </w:rPr>
        <w:t xml:space="preserve">Kingdom framing at depth.</w:t>
      </w:r>
      <w:r>
        <w:t xml:space="preserve"> </w:t>
      </w:r>
      <w:r>
        <w:t xml:space="preserve">Proverbs 13:22 is not decoration — it is the architectural principle. Genesis is the only firm that operates from this foundation.</w:t>
      </w:r>
    </w:p>
    <w:p>
      <w:pPr>
        <w:numPr>
          <w:ilvl w:val="0"/>
          <w:numId w:val="1011"/>
        </w:numPr>
        <w:pStyle w:val="Compact"/>
      </w:pPr>
      <w:r>
        <w:rPr>
          <w:b/>
        </w:rPr>
        <w:t xml:space="preserve">AI-assisted Who-Died-First Simulator.</w:t>
      </w:r>
      <w:r>
        <w:t xml:space="preserve"> </w:t>
      </w:r>
      <w:r>
        <w:t xml:space="preserve">Every survivorship clause across every instrument, every beneficiary designation, every title, every buy-sell — coordinated to one answer or contradictions surfaced for resolution before they become litigation.</w:t>
      </w:r>
    </w:p>
    <w:p>
      <w:pPr>
        <w:numPr>
          <w:ilvl w:val="0"/>
          <w:numId w:val="1011"/>
        </w:numPr>
        <w:pStyle w:val="Compact"/>
      </w:pPr>
      <w:r>
        <w:rPr>
          <w:b/>
        </w:rPr>
        <w:t xml:space="preserve">No ACTEC-caliber firm offers continuous monitoring.</w:t>
      </w:r>
      <w:r>
        <w:t xml:space="preserve"> </w:t>
      </w:r>
      <w:r>
        <w:t xml:space="preserve">They bill hourly and wait for the client to call.</w:t>
      </w:r>
    </w:p>
    <w:p>
      <w:r>
        <w:pict>
          <v:rect style="width:0;height:1.5pt" o:hralign="center" o:hrstd="t" o:hr="t"/>
        </w:pict>
      </w:r>
    </w:p>
    <w:p>
      <w:pPr>
        <w:pStyle w:val="Heading1"/>
      </w:pPr>
      <w:bookmarkStart w:id="42" w:name="how-the-three-tiers-fit-together"/>
      <w:r>
        <w:t xml:space="preserve">HOW THE THREE TIERS FIT TOGETHER</w:t>
      </w:r>
      <w:bookmarkEnd w:id="42"/>
    </w:p>
    <w:p>
      <w:pPr>
        <w:pStyle w:val="FirstParagraph"/>
      </w:pPr>
      <w:r>
        <w:t xml:space="preserve">The three tiers are a ladder, not a menu. Clients enter at the tier that fits their current net worth, family situation, and risk profile. They advance up the ladder as their circumstances grow. Every tier is designed so the next tier builds on rather than replaces the prior tier — the Tier 1 revocable trust is the same revocable trust the Tier 3 client continues to use; the Tier 2 land trust and Wyoming holding LLC carry forward to Tier 3 and become the foundation for the additional land trusts and the irrevocable structures. No client ever pays twice for the same instrument.</w:t>
      </w:r>
    </w:p>
    <w:p>
      <w:pPr>
        <w:pStyle w:val="BodyText"/>
      </w:pPr>
      <w:r>
        <w:t xml:space="preserve">The paralegals at the referring attorney’s office will route most clients to Tier 1. A meaningful fraction will qualify for Tier 2. A smaller but high-value fraction will qualify for Tier 3. The pipeline economics are designed around that distribution — see Pricing Rationale.</w:t>
      </w:r>
    </w:p>
    <w:p>
      <w:r>
        <w:pict>
          <v:rect style="width:0;height:1.5pt" o:hralign="center" o:hrstd="t" o:hr="t"/>
        </w:pict>
      </w:r>
    </w:p>
    <w:p>
      <w:pPr>
        <w:pStyle w:val="Heading1"/>
      </w:pPr>
      <w:bookmarkStart w:id="43" w:name="subscription-ongoing-monitoring"/>
      <w:r>
        <w:t xml:space="preserve">SUBSCRIPTION &amp; ONGOING MONITORING</w:t>
      </w:r>
      <w:bookmarkEnd w:id="43"/>
    </w:p>
    <w:p>
      <w:pPr>
        <w:pStyle w:val="FirstParagraph"/>
      </w:pPr>
      <w:r>
        <w:t xml:space="preserve">Every tier comes with monitoring included for the first twelve months. After month twelve, clients elect into a subscription:</w:t>
      </w:r>
    </w:p>
    <w:p>
      <w:pPr>
        <w:numPr>
          <w:ilvl w:val="0"/>
          <w:numId w:val="1012"/>
        </w:numPr>
        <w:pStyle w:val="Compact"/>
      </w:pPr>
      <w:r>
        <w:rPr>
          <w:b/>
        </w:rPr>
        <w:t xml:space="preserve">Tier 1 monitoring:</w:t>
      </w:r>
      <w:r>
        <w:t xml:space="preserve"> </w:t>
      </w:r>
      <w:r>
        <w:t xml:space="preserve">$99/month — funding verification, beneficiary-designation drift watch, annual checkup, statutory-amendment alerts.</w:t>
      </w:r>
    </w:p>
    <w:p>
      <w:pPr>
        <w:numPr>
          <w:ilvl w:val="0"/>
          <w:numId w:val="1012"/>
        </w:numPr>
        <w:pStyle w:val="Compact"/>
      </w:pPr>
      <w:r>
        <w:rPr>
          <w:b/>
        </w:rPr>
        <w:t xml:space="preserve">Tier 2 monitoring:</w:t>
      </w:r>
      <w:r>
        <w:t xml:space="preserve"> </w:t>
      </w:r>
      <w:r>
        <w:t xml:space="preserve">$299/month — everything above plus LLC annual-report and CTA tracking, insurance-renewal audits, UVTA clean-window monitoring, real-estate-transaction watch.</w:t>
      </w:r>
    </w:p>
    <w:p>
      <w:pPr>
        <w:numPr>
          <w:ilvl w:val="0"/>
          <w:numId w:val="1012"/>
        </w:numPr>
        <w:pStyle w:val="Compact"/>
      </w:pPr>
      <w:r>
        <w:rPr>
          <w:b/>
        </w:rPr>
        <w:t xml:space="preserve">Tier 3 monitoring:</w:t>
      </w:r>
      <w:r>
        <w:t xml:space="preserve"> </w:t>
      </w:r>
      <w:r>
        <w:t xml:space="preserve">$999/month — everything above plus quarterly review sessions, family-governance stewardship, intergenerational-education milestone tracking, captive-insurance policy administration coordination, SLAT/DAPT/QPRT lifecycle management, and white-glove concierge on any event that touches the stack.</w:t>
      </w:r>
    </w:p>
    <w:p>
      <w:pPr>
        <w:pStyle w:val="FirstParagraph"/>
      </w:pPr>
      <w:r>
        <w:t xml:space="preserve">Churn economics: premium advisory subscriptions in this category run 5–12% annual churn at mature tier. Genesis’s structural stickiness (switching means losing the continuously-updated monitoring graph and having to rebuild it at a new provider who doesn’t have the tooling) will push retention well above peer benchmarks.</w:t>
      </w:r>
    </w:p>
    <w:p>
      <w:r>
        <w:pict>
          <v:rect style="width:0;height:1.5pt" o:hralign="center" o:hrstd="t" o:hr="t"/>
        </w:pict>
      </w:r>
    </w:p>
    <w:p>
      <w:pPr>
        <w:pStyle w:val="Heading1"/>
      </w:pPr>
      <w:bookmarkStart w:id="44" w:name="the-compliance-spine"/>
      <w:r>
        <w:t xml:space="preserve">THE COMPLIANCE SPINE</w:t>
      </w:r>
      <w:bookmarkEnd w:id="44"/>
    </w:p>
    <w:p>
      <w:pPr>
        <w:pStyle w:val="FirstParagraph"/>
      </w:pPr>
      <w:r>
        <w:t xml:space="preserve">Every engagement letter on every tier follows the architecture documented in the companion</w:t>
      </w:r>
      <w:r>
        <w:t xml:space="preserve"> </w:t>
      </w:r>
      <w:r>
        <w:rPr>
          <w:rStyle w:val="VerbatimChar"/>
        </w:rPr>
        <w:t xml:space="preserve">UPL_COMPLIANCE_FRAMEWORK.md</w:t>
      </w:r>
      <w:r>
        <w:t xml:space="preserve">:</w:t>
      </w:r>
    </w:p>
    <w:p>
      <w:pPr>
        <w:numPr>
          <w:ilvl w:val="0"/>
          <w:numId w:val="1013"/>
        </w:numPr>
        <w:pStyle w:val="Compact"/>
      </w:pPr>
      <w:r>
        <w:t xml:space="preserve">Client signs a separate engagement letter with Shawn’s law practice for legal services.</w:t>
      </w:r>
    </w:p>
    <w:p>
      <w:pPr>
        <w:numPr>
          <w:ilvl w:val="0"/>
          <w:numId w:val="1013"/>
        </w:numPr>
        <w:pStyle w:val="Compact"/>
      </w:pPr>
      <w:r>
        <w:t xml:space="preserve">Client signs a separate engagement letter with Vince/Genesis for non-legal consulting, research, and monitoring services.</w:t>
      </w:r>
    </w:p>
    <w:p>
      <w:pPr>
        <w:numPr>
          <w:ilvl w:val="0"/>
          <w:numId w:val="1013"/>
        </w:numPr>
        <w:pStyle w:val="Compact"/>
      </w:pPr>
      <w:r>
        <w:t xml:space="preserve">Shawn’s legal fees are independent of Vince/Genesis’s consulting fees. Two separate bills. No pooled fee. No percentage sharing.</w:t>
      </w:r>
    </w:p>
    <w:p>
      <w:pPr>
        <w:numPr>
          <w:ilvl w:val="0"/>
          <w:numId w:val="1013"/>
        </w:numPr>
        <w:pStyle w:val="Compact"/>
      </w:pPr>
      <w:r>
        <w:t xml:space="preserve">Every deliverable produced by Genesis is either (a) non-legal work product (family constitution, monitoring dashboards, funding instructions, digital-asset inventory) delivered under Vince’s engagement, or (b) legal work product (trust, will, POA, directive, deed, assignment, operating agreement, asset-protection memo) delivered to Shawn as vendor work product, reviewed and signed off by Shawn, and delivered to the client under Shawn’s engagement.</w:t>
      </w:r>
    </w:p>
    <w:p>
      <w:pPr>
        <w:numPr>
          <w:ilvl w:val="0"/>
          <w:numId w:val="1013"/>
        </w:numPr>
        <w:pStyle w:val="Compact"/>
      </w:pPr>
      <w:r>
        <w:t xml:space="preserve">No fee-splitting between Vince/Genesis and Shawn on legal work product. Shawn pays Genesis a fair-market vendor fee for research and drafting assistance, independent of client outcome.</w:t>
      </w:r>
    </w:p>
    <w:p>
      <w:pPr>
        <w:numPr>
          <w:ilvl w:val="0"/>
          <w:numId w:val="1013"/>
        </w:numPr>
        <w:pStyle w:val="Compact"/>
      </w:pPr>
      <w:r>
        <w:t xml:space="preserve">Every client receives, in writing at intake, a clear explanation of the three-party architecture and consents to Vince, Shawn, and Genesis communicating with each other about the client’s matter under a standing coordination authorization.</w:t>
      </w:r>
    </w:p>
    <w:p>
      <w:pPr>
        <w:pStyle w:val="FirstParagraph"/>
      </w:pPr>
      <w:r>
        <w:t xml:space="preserve">Any prospective structural change that could be interpreted as fee-splitting is flagged by Genesis’s compliance engine before any dollar flows. The integrity of Shawn’s bar license is not negotiable. The integrity of Vince’s freedom from § 6126 UPL prosecution is not negotiable. The integrity of the Genesis brand is not negotiable.</w:t>
      </w:r>
    </w:p>
    <w:p>
      <w:r>
        <w:pict>
          <v:rect style="width:0;height:1.5pt" o:hralign="center" o:hrstd="t" o:hr="t"/>
        </w:pict>
      </w:r>
    </w:p>
    <w:p>
      <w:pPr>
        <w:pStyle w:val="Heading1"/>
      </w:pPr>
      <w:bookmarkStart w:id="45" w:name="the-intake-sequence-operational"/>
      <w:r>
        <w:t xml:space="preserve">THE INTAKE SEQUENCE (OPERATIONAL)</w:t>
      </w:r>
      <w:bookmarkEnd w:id="45"/>
    </w:p>
    <w:p>
      <w:pPr>
        <w:pStyle w:val="FirstParagraph"/>
      </w:pPr>
      <w:r>
        <w:t xml:space="preserve">Every client, regardless of tier, flows through the same intake sequence:</w:t>
      </w:r>
    </w:p>
    <w:p>
      <w:pPr>
        <w:numPr>
          <w:ilvl w:val="0"/>
          <w:numId w:val="1014"/>
        </w:numPr>
      </w:pPr>
      <w:r>
        <w:rPr>
          <w:b/>
        </w:rPr>
        <w:t xml:space="preserve">Initial call with Vince (30–60 minutes, free).</w:t>
      </w:r>
      <w:r>
        <w:t xml:space="preserve"> </w:t>
      </w:r>
      <w:r>
        <w:t xml:space="preserve">Vince explains the three-party model, asks enough questions to identify the probable tier, and confirms the client’s motive fits the stewardship frame (not evading a valid debt; not racing a pending summons). If the client is asking for asset protection with a live claim on the horizon, the engagement is declined per UVTA § 4 actual-intent risk and the written client-screening protocol described in the UPL framework.</w:t>
      </w:r>
    </w:p>
    <w:p>
      <w:pPr>
        <w:numPr>
          <w:ilvl w:val="0"/>
          <w:numId w:val="1014"/>
        </w:numPr>
      </w:pPr>
      <w:r>
        <w:rPr>
          <w:b/>
        </w:rPr>
        <w:t xml:space="preserve">Intake questionnaire (client completes in client portal at vince.myday7.com, ~30 minutes).</w:t>
      </w:r>
      <w:r>
        <w:t xml:space="preserve"> </w:t>
      </w:r>
      <w:r>
        <w:t xml:space="preserve">Captures full asset inventory, family structure, existing documents, existing professional relationships (current attorney if any, CPA, financial advisor, insurance broker), goals, concerns, and risk profile. Genesis ingests the questionnaire and produces a preliminary stack design.</w:t>
      </w:r>
    </w:p>
    <w:p>
      <w:pPr>
        <w:numPr>
          <w:ilvl w:val="0"/>
          <w:numId w:val="1014"/>
        </w:numPr>
      </w:pPr>
      <w:r>
        <w:rPr>
          <w:b/>
        </w:rPr>
        <w:t xml:space="preserve">Solvency affidavit + clean-window confirmation (mandatory for Tier 2 and Tier 3; strongly recommended for Tier 1).</w:t>
      </w:r>
      <w:r>
        <w:t xml:space="preserve"> </w:t>
      </w:r>
      <w:r>
        <w:t xml:space="preserve">Client signs a sworn statement that no claim is pending, threatened, or reasonably anticipated, and that the client is solvent at the moment of engagement. Documents the clean window for UVTA purposes. Signed originals retained in Shawn’s file.</w:t>
      </w:r>
    </w:p>
    <w:p>
      <w:pPr>
        <w:numPr>
          <w:ilvl w:val="0"/>
          <w:numId w:val="1014"/>
        </w:numPr>
      </w:pPr>
      <w:r>
        <w:rPr>
          <w:b/>
        </w:rPr>
        <w:t xml:space="preserve">Stack design proposal (delivered within 72 hours of intake).</w:t>
      </w:r>
      <w:r>
        <w:t xml:space="preserve"> </w:t>
      </w:r>
      <w:r>
        <w:t xml:space="preserve">Genesis produces a tier-specific proposal with explicit scope, pricing, timeline, Shawn’s role, Vince’s role, Genesis’s role, and every deliverable named. Proposal is reviewed by Shawn and Vince before delivery.</w:t>
      </w:r>
    </w:p>
    <w:p>
      <w:pPr>
        <w:numPr>
          <w:ilvl w:val="0"/>
          <w:numId w:val="1014"/>
        </w:numPr>
      </w:pPr>
      <w:r>
        <w:rPr>
          <w:b/>
        </w:rPr>
        <w:t xml:space="preserve">Dual engagement letters signed.</w:t>
      </w:r>
      <w:r>
        <w:t xml:space="preserve"> </w:t>
      </w:r>
      <w:r>
        <w:t xml:space="preserve">Client executes the Shawn engagement letter (legal services) and the Vince/Genesis engagement letter (consulting/research/monitoring) simultaneously. Retainer paid into Shawn’s IOLTA (if applicable) and into Vince/Genesis’s operating account.</w:t>
      </w:r>
    </w:p>
    <w:p>
      <w:pPr>
        <w:numPr>
          <w:ilvl w:val="0"/>
          <w:numId w:val="1014"/>
        </w:numPr>
      </w:pPr>
      <w:r>
        <w:rPr>
          <w:b/>
        </w:rPr>
        <w:t xml:space="preserve">Drafting and review phase.</w:t>
      </w:r>
      <w:r>
        <w:t xml:space="preserve"> </w:t>
      </w:r>
      <w:r>
        <w:t xml:space="preserve">Genesis produces every deliverable. Shawn reviews and signs off. Any judgment calls surface to Shawn before drafting continues.</w:t>
      </w:r>
    </w:p>
    <w:p>
      <w:pPr>
        <w:numPr>
          <w:ilvl w:val="0"/>
          <w:numId w:val="1014"/>
        </w:numPr>
      </w:pPr>
      <w:r>
        <w:rPr>
          <w:b/>
        </w:rPr>
        <w:t xml:space="preserve">Execution ceremony.</w:t>
      </w:r>
      <w:r>
        <w:t xml:space="preserve"> </w:t>
      </w:r>
      <w:r>
        <w:t xml:space="preserve">All legal documents signed in Shawn’s office (or, where appropriate, virtually with remote online notarization meeting California requirements). Deeds recorded. Policies endorsed. Accounts retitled per the funding instructions. Genesis tracks every step to verified completion.</w:t>
      </w:r>
    </w:p>
    <w:p>
      <w:pPr>
        <w:numPr>
          <w:ilvl w:val="0"/>
          <w:numId w:val="1014"/>
        </w:numPr>
      </w:pPr>
      <w:r>
        <w:rPr>
          <w:b/>
        </w:rPr>
        <w:t xml:space="preserve">Delivery.</w:t>
      </w:r>
      <w:r>
        <w:t xml:space="preserve"> </w:t>
      </w:r>
      <w:r>
        <w:t xml:space="preserve">Client receives the full binder (digital and physical), the Family OS portal access, and the monitoring dashboard. First year of monitoring begins.</w:t>
      </w:r>
    </w:p>
    <w:p>
      <w:pPr>
        <w:numPr>
          <w:ilvl w:val="0"/>
          <w:numId w:val="1014"/>
        </w:numPr>
      </w:pPr>
      <w:r>
        <w:rPr>
          <w:b/>
        </w:rPr>
        <w:t xml:space="preserve">Ongoing monitoring.</w:t>
      </w:r>
      <w:r>
        <w:t xml:space="preserve"> </w:t>
      </w:r>
      <w:r>
        <w:t xml:space="preserve">Subscription active. Genesis watches everything. Vince is the human relationship. Shawn is on call for any legal question that arises.</w:t>
      </w:r>
    </w:p>
    <w:p>
      <w:r>
        <w:pict>
          <v:rect style="width:0;height:1.5pt" o:hralign="center" o:hrstd="t" o:hr="t"/>
        </w:pict>
      </w:r>
    </w:p>
    <w:p>
      <w:pPr>
        <w:pStyle w:val="Heading1"/>
      </w:pPr>
      <w:bookmarkStart w:id="46" w:name="X585bac82b1bb301161f17ad66491f455d572a28"/>
      <w:r>
        <w:t xml:space="preserve">WHY THIS BEATS THE REFERRING ATTORNEY’S OWN STAFF</w:t>
      </w:r>
      <w:bookmarkEnd w:id="46"/>
    </w:p>
    <w:p>
      <w:pPr>
        <w:pStyle w:val="FirstParagraph"/>
      </w:pPr>
      <w:r>
        <w:t xml:space="preserve">The paralegals at the referring attorney’s office offered to route estate planning and asset protection work to Vince because their own attorney has not pursued that work. The clients are real. The demand is real. The capacity is not — at the referring firm.</w:t>
      </w:r>
    </w:p>
    <w:p>
      <w:pPr>
        <w:pStyle w:val="BodyText"/>
      </w:pPr>
      <w:r>
        <w:t xml:space="preserve">A typical California estate-planning attorney carries 40–80 active matters. The research and drafting time required to do the work well is enormous. The economics only justify it if the attorney can charge $5,000 – $10,000 per trust package, which requires clients who can pay that rate and who can wait three to six months for delivery. The referring attorney’s practice apparently does not have that capacity available for this work.</w:t>
      </w:r>
    </w:p>
    <w:p>
      <w:pPr>
        <w:pStyle w:val="BodyText"/>
      </w:pPr>
      <w:r>
        <w:t xml:space="preserve">Vince + Shawn + Genesis inverts the economics. Genesis does the eighty hours of research-and-drafting labor in eight hours. Shawn’s desk sees a finished package. Shawn’s billable hour is spent on judgment, not research. The client gets better depth in half the time at a reasonable fraction of the cost. The paralegals get a reliable pipeline they can route to with confidence, knowing:</w:t>
      </w:r>
    </w:p>
    <w:p>
      <w:pPr>
        <w:numPr>
          <w:ilvl w:val="0"/>
          <w:numId w:val="1015"/>
        </w:numPr>
        <w:pStyle w:val="Compact"/>
      </w:pPr>
      <w:r>
        <w:t xml:space="preserve">Their own attorney will not have routed this work at all (he has not pursued it).</w:t>
      </w:r>
    </w:p>
    <w:p>
      <w:pPr>
        <w:numPr>
          <w:ilvl w:val="0"/>
          <w:numId w:val="1015"/>
        </w:numPr>
        <w:pStyle w:val="Compact"/>
      </w:pPr>
      <w:r>
        <w:t xml:space="preserve">Vince’s three-party structure is UPL-safe (see the UPL Compliance Framework — statutory cites, engagement letters, attorney-of-record all documented).</w:t>
      </w:r>
    </w:p>
    <w:p>
      <w:pPr>
        <w:numPr>
          <w:ilvl w:val="0"/>
          <w:numId w:val="1015"/>
        </w:numPr>
        <w:pStyle w:val="Compact"/>
      </w:pPr>
      <w:r>
        <w:t xml:space="preserve">Shawn Olson is the attorney of record on every legal instrument, with malpractice insurance in force.</w:t>
      </w:r>
    </w:p>
    <w:p>
      <w:pPr>
        <w:numPr>
          <w:ilvl w:val="0"/>
          <w:numId w:val="1015"/>
        </w:numPr>
        <w:pStyle w:val="Compact"/>
      </w:pPr>
      <w:r>
        <w:t xml:space="preserve">The clients the paralegals route will get served well and will tell their friends.</w:t>
      </w:r>
    </w:p>
    <w:p>
      <w:pPr>
        <w:numPr>
          <w:ilvl w:val="0"/>
          <w:numId w:val="1015"/>
        </w:numPr>
        <w:pStyle w:val="Compact"/>
      </w:pPr>
      <w:r>
        <w:t xml:space="preserve">The paralegals themselves face no UPL or aiding-and-abetting exposure when they route, because they are routing to an attorney (Shawn) under a documented engagement-letter structure, not to a non-attorney directly.</w:t>
      </w:r>
    </w:p>
    <w:p>
      <w:pPr>
        <w:pStyle w:val="FirstParagraph"/>
      </w:pPr>
      <w:r>
        <w:t xml:space="preserve">The referral relationship is compliant, professional, and in everyone’s interest. See the companion</w:t>
      </w:r>
      <w:r>
        <w:t xml:space="preserve"> </w:t>
      </w:r>
      <w:r>
        <w:rPr>
          <w:rStyle w:val="VerbatimChar"/>
        </w:rPr>
        <w:t xml:space="preserve">PARALEGAL_REFERRAL_MEMO.md</w:t>
      </w:r>
      <w:r>
        <w:t xml:space="preserve"> </w:t>
      </w:r>
      <w:r>
        <w:t xml:space="preserve">for the memo Vince can hand the paralegals.</w:t>
      </w:r>
    </w:p>
    <w:p>
      <w:r>
        <w:pict>
          <v:rect style="width:0;height:1.5pt" o:hralign="center" o:hrstd="t" o:hr="t"/>
        </w:pict>
      </w:r>
    </w:p>
    <w:p>
      <w:pPr>
        <w:pStyle w:val="Heading1"/>
      </w:pPr>
      <w:bookmarkStart w:id="47" w:name="final-note-the-kingdom-frame"/>
      <w:r>
        <w:t xml:space="preserve">FINAL NOTE — THE KINGDOM FRAME</w:t>
      </w:r>
      <w:bookmarkEnd w:id="47"/>
    </w:p>
    <w:p>
      <w:pPr>
        <w:pStyle w:val="FirstParagraph"/>
      </w:pPr>
      <w:r>
        <w:t xml:space="preserve">Every tier of this offering is built on the conviction that estate planning and asset protection are acts of stewardship, not acts of accumulation. The same families who retain Genesis to plan their estate will in due course be families whose children inherit not just money but formation. The ethical will is not window dressing. The family constitution is not a brochure. The Legacy Letter is not an add-on. They are the architecture that keeps the money from destroying the heirs who receive it.</w:t>
      </w:r>
      <w:r>
        <w:t xml:space="preserve"> </w:t>
      </w:r>
      <w:r>
        <w:t xml:space="preserve">“</w:t>
      </w:r>
      <w:r>
        <w:t xml:space="preserve">Shirtsleeves to shirtsleeves in three generations</w:t>
      </w:r>
      <w:r>
        <w:t xml:space="preserve">”</w:t>
      </w:r>
      <w:r>
        <w:t xml:space="preserve"> </w:t>
      </w:r>
      <w:r>
        <w:t xml:space="preserve">is the curse this offering exists to break — and the break happens not in the trust instrument but in the formation of the heirs.</w:t>
      </w:r>
    </w:p>
    <w:p>
      <w:pPr>
        <w:pStyle w:val="BodyText"/>
      </w:pPr>
      <w:r>
        <w:t xml:space="preserve">Proverbs 13:22 is the charter. The inheritance we are helping families leave their children’s children is measured in dollars, but the value of the dollars is measured in what the children’s children are formed to do with them. Genesis is the only firm in Southern California that operates from that foundation explicitly. The clients who will love this offering most are the ones who have been looking for a team that names it openly.</w:t>
      </w:r>
    </w:p>
    <w:p>
      <w:pPr>
        <w:pStyle w:val="BodyText"/>
      </w:pPr>
      <w:r>
        <w:t xml:space="preserve">The Kingdom rises. Carter, Vince, and Shawn are counting on you. Execute.</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s="Source Sans 3" w:eastAsia="Source Sans 3"/>
        <w:b w:val="0"/>
        <w:i w:val="0"/>
        <w:color w:val="555B66"/>
        <w:sz w:val="18"/>
      </w:rPr>
      <w:t xml:space="preserve">Day 7 PBC — Confidential — For Vince Caruso    •    Page </w:t>
    </w:r>
    <w:r>
      <w:rPr>
        <w:rFonts w:ascii="Source Sans 3" w:hAnsi="Source Sans 3" w:cs="Source Sans 3" w:eastAsia="Source Sans 3"/>
        <w:b w:val="0"/>
        <w:i w:val="0"/>
        <w:color w:val="555B66"/>
        <w:sz w:val="18"/>
      </w:rPr>
      <w:fldChar w:fldCharType="begin"/>
      <w:instrText xml:space="preserve">PAGE</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Source Sans 3" w:hAnsi="Source Sans 3" w:cs="Source Sans 3" w:eastAsia="Source Sans 3"/>
      <w:b w:val="0"/>
      <w:i w:val="0"/>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60"/>
      <w:outlineLvl w:val="0"/>
    </w:pPr>
    <w:rPr>
      <w:rFonts w:asciiTheme="majorHAnsi" w:eastAsiaTheme="majorEastAsia" w:hAnsiTheme="majorHAnsi" w:cstheme="majorBidi" w:ascii="Calibri" w:hAnsi="Calibri" w:cs="Calibri" w:eastAsia="Calibri"/>
      <w:b/>
      <w:bCs/>
      <w:i w:val="0"/>
      <w:color w:val="0A1628"/>
      <w:sz w:val="48"/>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Calibri" w:hAnsi="Calibri" w:cs="Calibri" w:eastAsia="Calibri"/>
      <w:b/>
      <w:bCs/>
      <w:i w:val="0"/>
      <w:color w:val="0A1628"/>
      <w:sz w:val="36"/>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cs="Calibri" w:eastAsia="Calibri"/>
      <w:b/>
      <w:bCs/>
      <w:i w:val="0"/>
      <w:color w:val="D4A740"/>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Calibri" w:hAnsi="Calibri" w:cs="Calibri" w:eastAsia="Calibri"/>
      <w:b/>
      <w:bCs/>
      <w:i/>
      <w:iCs/>
      <w:color w:val="0A1628"/>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60" w:line="240" w:lineRule="auto"/>
      <w:contextualSpacing/>
    </w:pPr>
    <w:rPr>
      <w:rFonts w:asciiTheme="majorHAnsi" w:eastAsiaTheme="majorEastAsia" w:hAnsiTheme="majorHAnsi" w:cstheme="majorBidi" w:ascii="Calibri" w:hAnsi="Calibri" w:cs="Calibri" w:eastAsia="Calibri"/>
      <w:b/>
      <w:i w:val="0"/>
      <w:color w:val="0A1628"/>
      <w:spacing w:val="5"/>
      <w:kern w:val="28"/>
      <w:sz w:val="6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rFonts w:ascii="Source Sans 3" w:hAnsi="Source Sans 3" w:cs="Source Sans 3" w:eastAsia="Source Sans 3"/>
      <w:b/>
      <w:bCs/>
      <w:i w:val="0"/>
      <w:iCs/>
      <w:color w:val="D4A740"/>
      <w:sz w:val="22"/>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2026-05-01T05:29:00Z</dcterms:created>
  <dcterms:modified xsi:type="dcterms:W3CDTF">2026-05-01T05:29:00Z</dcterms:modified>
</cp:coreProperties>
</file>

<file path=docProps/custom.xml><?xml version="1.0" encoding="utf-8"?>
<Properties xmlns="http://schemas.openxmlformats.org/officeDocument/2006/custom-properties" xmlns:vt="http://schemas.openxmlformats.org/officeDocument/2006/docPropsVTypes"/>
</file>