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memo-for-the-paralegal-team"/>
      <w:r>
        <w:t xml:space="preserve">MEMO FOR THE PARALEGAL TEAM</w:t>
      </w:r>
      <w:bookmarkEnd w:id="20"/>
    </w:p>
    <w:p>
      <w:pPr>
        <w:pStyle w:val="Heading2"/>
      </w:pPr>
      <w:bookmarkStart w:id="21" w:name="X13fde390ef3578e0a3c26e8eee5b3ab07c0ec24"/>
      <w:r>
        <w:t xml:space="preserve">Estate Planning &amp; Asset Protection Referral Pipeline</w:t>
      </w:r>
      <w:bookmarkEnd w:id="21"/>
    </w:p>
    <w:p>
      <w:pPr>
        <w:pStyle w:val="FirstParagraph"/>
      </w:pPr>
      <w:r>
        <w:rPr>
          <w:b/>
        </w:rPr>
        <w:t xml:space="preserve">To:</w:t>
      </w:r>
      <w:r>
        <w:t xml:space="preserve"> </w:t>
      </w:r>
      <w:r>
        <w:t xml:space="preserve">The paralegal team at [Referring Attorney’s Firm]</w:t>
      </w:r>
      <w:r>
        <w:t xml:space="preserve"> </w:t>
      </w:r>
      <w:r>
        <w:rPr>
          <w:b/>
        </w:rPr>
        <w:t xml:space="preserve">From:</w:t>
      </w:r>
      <w:r>
        <w:t xml:space="preserve"> </w:t>
      </w:r>
      <w:r>
        <w:t xml:space="preserve">Vince Caruso, Vince Caruso Consulting / AB Legacy</w:t>
      </w:r>
      <w:r>
        <w:t xml:space="preserve"> </w:t>
      </w:r>
      <w:r>
        <w:rPr>
          <w:b/>
        </w:rPr>
        <w:t xml:space="preserve">Re:</w:t>
      </w:r>
      <w:r>
        <w:t xml:space="preserve"> </w:t>
      </w:r>
      <w:r>
        <w:t xml:space="preserve">The estate-planning and asset-protection pipeline you offered to route to us</w:t>
      </w:r>
      <w:r>
        <w:t xml:space="preserve"> </w:t>
      </w:r>
      <w:r>
        <w:rPr>
          <w:b/>
        </w:rPr>
        <w:t xml:space="preserve">Date:</w:t>
      </w:r>
      <w:r>
        <w:t xml:space="preserve"> </w:t>
      </w:r>
      <w:r>
        <w:t xml:space="preserve">[Date]</w:t>
      </w:r>
    </w:p>
    <w:p>
      <w:r>
        <w:pict>
          <v:rect style="width:0;height:1.5pt" o:hralign="center" o:hrstd="t" o:hr="t"/>
        </w:pict>
      </w:r>
    </w:p>
    <w:p>
      <w:pPr>
        <w:pStyle w:val="FirstParagraph"/>
      </w:pPr>
      <w:r>
        <w:t xml:space="preserve">Thanks for reaching out. You mentioned you’re getting calls on estate planning and asset protection that your office hasn’t been pursuing — and you asked whether we could take the work. The answer is yes, and this memo is the one-page (ish) brief on how it works so you can route clients with confidence that (a) they’ll be served well, (b) your attorney has no exposure from the referral, and (c) you’re protected personally under California’s referral rules.</w:t>
      </w:r>
    </w:p>
    <w:p>
      <w:r>
        <w:pict>
          <v:rect style="width:0;height:1.5pt" o:hralign="center" o:hrstd="t" o:hr="t"/>
        </w:pict>
      </w:r>
    </w:p>
    <w:p>
      <w:pPr>
        <w:pStyle w:val="Heading2"/>
      </w:pPr>
      <w:bookmarkStart w:id="22" w:name="who-we-are"/>
      <w:r>
        <w:t xml:space="preserve">WHO WE ARE</w:t>
      </w:r>
      <w:bookmarkEnd w:id="22"/>
    </w:p>
    <w:p>
      <w:pPr>
        <w:pStyle w:val="FirstParagraph"/>
      </w:pPr>
      <w:r>
        <w:rPr>
          <w:b/>
        </w:rPr>
        <w:t xml:space="preserve">Vince Caruso Consulting</w:t>
      </w:r>
      <w:r>
        <w:t xml:space="preserve"> </w:t>
      </w:r>
      <w:r>
        <w:t xml:space="preserve">manages the client relationship, runs the intake, handles the implementation logistics, and carries the ongoing relationship year after year. That’s me.</w:t>
      </w:r>
    </w:p>
    <w:p>
      <w:pPr>
        <w:pStyle w:val="BodyText"/>
      </w:pPr>
      <w:r>
        <w:rPr>
          <w:b/>
        </w:rPr>
        <w:t xml:space="preserve">Shawn Olson, Esq.</w:t>
      </w:r>
      <w:r>
        <w:t xml:space="preserve"> </w:t>
      </w:r>
      <w:r>
        <w:t xml:space="preserve">is the California-licensed attorney of record on every legal instrument. Shawn’s office is on Prince Drive in Huntington Beach. He’s reviewed our prior probate research, he knows the framework, and he signs off on every trust, will, power of attorney, advance directive, deed, and operating agreement that goes out. His malpractice insurance covers the legal work. The attorney-client relationship on the legal side is between the client and Shawn.</w:t>
      </w:r>
    </w:p>
    <w:p>
      <w:pPr>
        <w:pStyle w:val="BodyText"/>
      </w:pPr>
      <w:r>
        <w:rPr>
          <w:b/>
        </w:rPr>
        <w:t xml:space="preserve">Genesis AI</w:t>
      </w:r>
      <w:r>
        <w:t xml:space="preserve"> </w:t>
      </w:r>
      <w:r>
        <w:t xml:space="preserve">is the intelligence layer underneath — the AI-powered research, drafting, Neo4j Funding Graph, compliance engine, and continuous monitoring. It does in hours what a senior associate at a boutique firm would do in a week. That’s why we can charge mid-market prices for boutique-caliber work.</w:t>
      </w:r>
    </w:p>
    <w:p>
      <w:pPr>
        <w:pStyle w:val="BodyText"/>
      </w:pPr>
      <w:r>
        <w:t xml:space="preserve">The three of us are legally independent — two separate engagement letters, two separate bank accounts, no fee-splitting. See the UPL Compliance Framework (attached or available on request) for the full statutory architecture.</w:t>
      </w:r>
    </w:p>
    <w:p>
      <w:r>
        <w:pict>
          <v:rect style="width:0;height:1.5pt" o:hralign="center" o:hrstd="t" o:hr="t"/>
        </w:pict>
      </w:r>
    </w:p>
    <w:p>
      <w:pPr>
        <w:pStyle w:val="Heading2"/>
      </w:pPr>
      <w:bookmarkStart w:id="23" w:name="the-three-tier-service-menu"/>
      <w:r>
        <w:t xml:space="preserve">THE THREE-TIER SERVICE MENU</w:t>
      </w:r>
      <w:bookmarkEnd w:id="23"/>
    </w:p>
    <w:p>
      <w:pPr>
        <w:pStyle w:val="FirstParagraph"/>
      </w:pPr>
      <w:r>
        <w:rPr>
          <w:b/>
        </w:rPr>
        <w:t xml:space="preserve">Tier 1 — The Foundation ($3,500 – $6,000, 21–35 days).</w:t>
      </w:r>
      <w:r>
        <w:t xml:space="preserve"> </w:t>
      </w:r>
      <w:r>
        <w:t xml:space="preserve">Full California estate-plan binder: revocable living trust, pour-over will, durable POA, advance health care directive with HIPAA, guardianship nomination, funding instructions and asset schedule, certificate of trust, and a 90-minute strategy session. Shawn Olson attorney sign-off and signature. Funding actually implemented (not left in a drawer). One year of continuous monitoring included.</w:t>
      </w:r>
    </w:p>
    <w:p>
      <w:pPr>
        <w:pStyle w:val="BodyText"/>
      </w:pPr>
      <w:r>
        <w:t xml:space="preserve">Target client: California family, roughly $500K–$2.5M net worth, primary residence plus retirement and brokerage. The paralegals’ most common routing case.</w:t>
      </w:r>
    </w:p>
    <w:p>
      <w:pPr>
        <w:pStyle w:val="BodyText"/>
      </w:pPr>
      <w:r>
        <w:rPr>
          <w:b/>
        </w:rPr>
        <w:t xml:space="preserve">Tier 2 — The Shield ($7,500 – $15,000, 45–75 days).</w:t>
      </w:r>
      <w:r>
        <w:t xml:space="preserve"> </w:t>
      </w:r>
      <w:r>
        <w:t xml:space="preserve">Everything in Tier 1, plus: one California-compliant land trust (our AB Legacy template for primary residence or one rental), Wyoming or Nevada anonymous holding LLC, California operating LLC(s) for the rental portfolio, asset-protection memo signed by Shawn, umbrella-insurance review and recommendations, CPA coordination on S-corp or disregarded-entity elections. Shawn signs off on all structural documents.</w:t>
      </w:r>
    </w:p>
    <w:p>
      <w:pPr>
        <w:pStyle w:val="BodyText"/>
      </w:pPr>
      <w:r>
        <w:t xml:space="preserve">Target client: California family, roughly $2.5M–$10M net worth, one or more rentals or a small business, aware that California is litigious and wanting the ark built before the rain.</w:t>
      </w:r>
    </w:p>
    <w:p>
      <w:pPr>
        <w:pStyle w:val="BodyText"/>
      </w:pPr>
      <w:r>
        <w:rPr>
          <w:b/>
        </w:rPr>
        <w:t xml:space="preserve">Tier 3 — The Legacy ($15,000 – $40,000+, 90–180 days).</w:t>
      </w:r>
      <w:r>
        <w:t xml:space="preserve"> </w:t>
      </w:r>
      <w:r>
        <w:t xml:space="preserve">Everything in Tier 1 and 2, plus: multiple land trusts (up to 5 properties), irrevocable trust (SLAT or DAPT or QPRT), GST planning if applicable, Family Constitution (non-legal), Kingdom-framed Ethical Will / Legacy Letter, Digital Legacy Plan, quarterly reviews the first year and annual thereafter, full Anderson-style real-estate investor stack if 5+ properties, Shawn as trustee of record or trust protector on irrevocable structures where elected.</w:t>
      </w:r>
    </w:p>
    <w:p>
      <w:pPr>
        <w:pStyle w:val="BodyText"/>
      </w:pPr>
      <w:r>
        <w:t xml:space="preserve">Target client: California family, roughly $10M–$50M+ net worth, investors, business owners with a liquidity event on the horizon, families exposed to the 2026 federal-estate-tax-exemption drop.</w:t>
      </w:r>
    </w:p>
    <w:p>
      <w:pPr>
        <w:pStyle w:val="BodyText"/>
      </w:pPr>
      <w:r>
        <w:t xml:space="preserve">Full detail on every tier is in the companion document</w:t>
      </w:r>
      <w:r>
        <w:t xml:space="preserve"> </w:t>
      </w:r>
      <w:r>
        <w:rPr>
          <w:rStyle w:val="VerbatimChar"/>
        </w:rPr>
        <w:t xml:space="preserve">ESTATE_PLANNING_PACKAGE_OFFERING.md</w:t>
      </w:r>
      <w:r>
        <w:t xml:space="preserve">.</w:t>
      </w:r>
    </w:p>
    <w:p>
      <w:r>
        <w:pict>
          <v:rect style="width:0;height:1.5pt" o:hralign="center" o:hrstd="t" o:hr="t"/>
        </w:pict>
      </w:r>
    </w:p>
    <w:p>
      <w:pPr>
        <w:pStyle w:val="Heading2"/>
      </w:pPr>
      <w:bookmarkStart w:id="24" w:name="pricing-transparency"/>
      <w:r>
        <w:t xml:space="preserve">PRICING TRANSPARENCY</w:t>
      </w:r>
      <w:bookmarkEnd w:id="24"/>
    </w:p>
    <w:p>
      <w:pPr>
        <w:pStyle w:val="FirstParagraph"/>
      </w:pPr>
      <w:r>
        <w:t xml:space="preserve">We quote flat fees, not hourly rates, on every tier. Every quote breaks out clearly what the client pays Vince/Genesis for consulting and monitoring versus what the client pays Shawn for legal services. No pooled fee. No surprise bill at the end. No hourly creep. Clients know what the whole engagement costs before they sign.</w:t>
      </w:r>
    </w:p>
    <w:p>
      <w:pPr>
        <w:pStyle w:val="BodyText"/>
      </w:pPr>
      <w:r>
        <w:t xml:space="preserve">Every tier also includes optional continuous monitoring subscription after year one ($99/month Tier 1, $299/month Tier 2, $999/month Tier 3) — monitoring funding status, beneficiary-designation drift, statutory amendments, tax changes, LLC annual-report deadlines, CTA beneficial-ownership filings, insurance-renewal gaps, and anything else that could cause the plan to rot between annual check-ins.</w:t>
      </w:r>
    </w:p>
    <w:p>
      <w:pPr>
        <w:pStyle w:val="BodyText"/>
      </w:pPr>
      <w:r>
        <w:t xml:space="preserve">Competing rate bands (for reference — see</w:t>
      </w:r>
      <w:r>
        <w:t xml:space="preserve"> </w:t>
      </w:r>
      <w:r>
        <w:rPr>
          <w:rStyle w:val="VerbatimChar"/>
        </w:rPr>
        <w:t xml:space="preserve">PRICING_RATIONALE.md</w:t>
      </w:r>
      <w:r>
        <w:t xml:space="preserve"> </w:t>
      </w:r>
      <w:r>
        <w:t xml:space="preserve">for full analysis):</w:t>
      </w:r>
      <w:r>
        <w:t xml:space="preserve"> </w:t>
      </w:r>
      <w:r>
        <w:t xml:space="preserve">- LegalZoom/DIY: $199–$599 (cheap, no depth, majority sit unfunded)</w:t>
      </w:r>
      <w:r>
        <w:t xml:space="preserve"> </w:t>
      </w:r>
      <w:r>
        <w:t xml:space="preserve">- Typical California estate-planning attorney: $3,000–$8,000 for a trust package; $15,000–$30,000 for asset-protection work</w:t>
      </w:r>
      <w:r>
        <w:t xml:space="preserve"> </w:t>
      </w:r>
      <w:r>
        <w:t xml:space="preserve">- Boutique firms (Weinstock Manion, Trust Counsel, Oshins): $15,000–$75,000</w:t>
      </w:r>
      <w:r>
        <w:t xml:space="preserve"> </w:t>
      </w:r>
      <w:r>
        <w:t xml:space="preserve">- ACTEC-caliber firms: $50,000–$250,000+</w:t>
      </w:r>
      <w:r>
        <w:t xml:space="preserve"> </w:t>
      </w:r>
      <w:r>
        <w:t xml:space="preserve">-</w:t>
      </w:r>
      <w:r>
        <w:t xml:space="preserve"> </w:t>
      </w:r>
      <w:r>
        <w:rPr>
          <w:b/>
        </w:rPr>
        <w:t xml:space="preserve">Genesis AB Legacy</w:t>
      </w:r>
      <w:r>
        <w:t xml:space="preserve">: between boutique and ACTEC on depth, at mid-market pricing, with continuous monitoring nobody else offers</w:t>
      </w:r>
    </w:p>
    <w:p>
      <w:r>
        <w:pict>
          <v:rect style="width:0;height:1.5pt" o:hralign="center" o:hrstd="t" o:hr="t"/>
        </w:pict>
      </w:r>
    </w:p>
    <w:p>
      <w:pPr>
        <w:pStyle w:val="Heading2"/>
      </w:pPr>
      <w:bookmarkStart w:id="25" w:name="turnaround-time"/>
      <w:r>
        <w:t xml:space="preserve">TURNAROUND TIME</w:t>
      </w:r>
      <w:bookmarkEnd w:id="25"/>
    </w:p>
    <w:p>
      <w:pPr>
        <w:pStyle w:val="FirstParagraph"/>
      </w:pPr>
      <w:r>
        <w:t xml:space="preserve">Tier 1: 21–35 days from signed engagement to funded, executed estate plan. A busy solo attorney doing this work manually typically takes 60–120 days. Genesis’s AI-leveraged research and drafting cuts the calendar in roughly half. Clients feel the difference.</w:t>
      </w:r>
    </w:p>
    <w:p>
      <w:pPr>
        <w:pStyle w:val="BodyText"/>
      </w:pPr>
      <w:r>
        <w:t xml:space="preserve">Tier 2: 45–75 days including entity formation, EIN issuance, bank account opening, deed transfers, and insurance re-endorsement. Manual firms quote 120–180 days.</w:t>
      </w:r>
    </w:p>
    <w:p>
      <w:pPr>
        <w:pStyle w:val="BodyText"/>
      </w:pPr>
      <w:r>
        <w:t xml:space="preserve">Tier 3: 90–180 days for the full multi-entity, multi-trust architecture. Boutique firms typically quote 6–12 months for comparable work.</w:t>
      </w:r>
    </w:p>
    <w:p>
      <w:r>
        <w:pict>
          <v:rect style="width:0;height:1.5pt" o:hralign="center" o:hrstd="t" o:hr="t"/>
        </w:pict>
      </w:r>
    </w:p>
    <w:p>
      <w:pPr>
        <w:pStyle w:val="Heading2"/>
      </w:pPr>
      <w:bookmarkStart w:id="26" w:name="Xcd576cb39d07a6566236a48d4420a1fb8e776f4"/>
      <w:r>
        <w:t xml:space="preserve">THE SHAWN OLSON ATTORNEY-OF-RECORD SIGN-OFF — WHY YOU CAN ROUTE WITHOUT UPL CONCERN</w:t>
      </w:r>
      <w:bookmarkEnd w:id="26"/>
    </w:p>
    <w:p>
      <w:pPr>
        <w:pStyle w:val="FirstParagraph"/>
      </w:pPr>
      <w:r>
        <w:t xml:space="preserve">This is the piece that matters most to you personally. California Business &amp; Professions Code §§ 6125 and 6126 make the unauthorized practice of law a misdemeanor. Someone who aids or abets UPL can also face exposure. You’re a paralegal; you don’t want to refer work to somebody who’s practicing law without a license.</w:t>
      </w:r>
    </w:p>
    <w:p>
      <w:pPr>
        <w:pStyle w:val="BodyText"/>
      </w:pPr>
      <w:r>
        <w:t xml:space="preserve">Here’s why you’re clean when you route to this pipeline:</w:t>
      </w:r>
    </w:p>
    <w:p>
      <w:pPr>
        <w:numPr>
          <w:ilvl w:val="0"/>
          <w:numId w:val="1001"/>
        </w:numPr>
      </w:pPr>
      <w:r>
        <w:rPr>
          <w:b/>
        </w:rPr>
        <w:t xml:space="preserve">Every client who comes through us ends up with Shawn Olson as their attorney of record on every legal instrument.</w:t>
      </w:r>
      <w:r>
        <w:t xml:space="preserve"> </w:t>
      </w:r>
      <w:r>
        <w:t xml:space="preserve">Shawn signs the engagement letter. Shawn’s malpractice insurance covers the legal work. Shawn’s bar license is on the line for every signature. The attorney-client relationship on the legal side is Client ↔ Shawn, not Client ↔ Vince.</w:t>
      </w:r>
    </w:p>
    <w:p>
      <w:pPr>
        <w:numPr>
          <w:ilvl w:val="0"/>
          <w:numId w:val="1001"/>
        </w:numPr>
      </w:pPr>
      <w:r>
        <w:rPr>
          <w:b/>
        </w:rPr>
        <w:t xml:space="preserve">Vince doesn’t give legal advice.</w:t>
      </w:r>
      <w:r>
        <w:t xml:space="preserve"> </w:t>
      </w:r>
      <w:r>
        <w:t xml:space="preserve">Vince runs the intake, does the research, prepares documents under California’s Legal Document Assistant framework (Bus. &amp; Prof. Code §§ 6400 et seq., county-registered and bonded), drafts non-legal documents (Family Constitution, Legacy Letter), and implements the logistics. Any legal advice or any legal instrument that requires attorney judgment flows through Shawn.</w:t>
      </w:r>
    </w:p>
    <w:p>
      <w:pPr>
        <w:numPr>
          <w:ilvl w:val="0"/>
          <w:numId w:val="1001"/>
        </w:numPr>
      </w:pPr>
      <w:r>
        <w:rPr>
          <w:b/>
        </w:rPr>
        <w:t xml:space="preserve">Genesis AI is a tool.</w:t>
      </w:r>
      <w:r>
        <w:t xml:space="preserve"> </w:t>
      </w:r>
      <w:r>
        <w:t xml:space="preserve">California State Bar’s November 2023 practical guidance and ABA Formal Opinion 510 (August 2024) both confirm that AI-assisted legal work is compliant when the supervising attorney reviews the output, exercises legal judgment, and signs off. Shawn does all three on every instrument.</w:t>
      </w:r>
    </w:p>
    <w:p>
      <w:pPr>
        <w:numPr>
          <w:ilvl w:val="0"/>
          <w:numId w:val="1001"/>
        </w:numPr>
      </w:pPr>
      <w:r>
        <w:rPr>
          <w:b/>
        </w:rPr>
        <w:t xml:space="preserve">The fee structure is compliant with Rule 5.4.</w:t>
      </w:r>
      <w:r>
        <w:t xml:space="preserve"> </w:t>
      </w:r>
      <w:r>
        <w:t xml:space="preserve">Two engagement letters. Two bank accounts. No fee-splitting between Vince and Shawn on legal work. Where Shawn pays Genesis for research and drafting assistance, it’s a vendor-services payment at fair market rate — analogous to what attorneys already pay expert witnesses, e-discovery vendors, and legal-research services — independent of client outcome.</w:t>
      </w:r>
    </w:p>
    <w:p>
      <w:pPr>
        <w:numPr>
          <w:ilvl w:val="0"/>
          <w:numId w:val="1001"/>
        </w:numPr>
      </w:pPr>
      <w:r>
        <w:rPr>
          <w:b/>
        </w:rPr>
        <w:t xml:space="preserve">Client disclosure is explicit.</w:t>
      </w:r>
      <w:r>
        <w:t xml:space="preserve"> </w:t>
      </w:r>
      <w:r>
        <w:t xml:space="preserve">Every client signs an engagement letter that says, in plain English:</w:t>
      </w:r>
      <w:r>
        <w:t xml:space="preserve"> </w:t>
      </w:r>
      <w:r>
        <w:t xml:space="preserve">“</w:t>
      </w:r>
      <w:r>
        <w:t xml:space="preserve">Vince Caruso Consulting is not a law firm. Legal services are provided by Shawn Olson, Esq. under a separate engagement.</w:t>
      </w:r>
      <w:r>
        <w:t xml:space="preserve">”</w:t>
      </w:r>
      <w:r>
        <w:t xml:space="preserve"> </w:t>
      </w:r>
      <w:r>
        <w:t xml:space="preserve">No client is ever confused about who is their attorney.</w:t>
      </w:r>
    </w:p>
    <w:p>
      <w:pPr>
        <w:pStyle w:val="FirstParagraph"/>
      </w:pPr>
      <w:r>
        <w:t xml:space="preserve">When you route a client to this pipeline, you’re routing them to</w:t>
      </w:r>
      <w:r>
        <w:t xml:space="preserve"> </w:t>
      </w:r>
      <w:r>
        <w:rPr>
          <w:b/>
        </w:rPr>
        <w:t xml:space="preserve">Shawn Olson, a California-licensed attorney</w:t>
      </w:r>
      <w:r>
        <w:t xml:space="preserve">, for the legal work. The fact that Shawn uses Vince + Genesis as his intake and research team is no different from the fact that your own attorney uses you, the paralegals, as his intake and research team. You’re not routing to a non-attorney; you’re routing to an attorney who has a different support model than the one your office uses.</w:t>
      </w:r>
    </w:p>
    <w:p>
      <w:r>
        <w:pict>
          <v:rect style="width:0;height:1.5pt" o:hralign="center" o:hrstd="t" o:hr="t"/>
        </w:pict>
      </w:r>
    </w:p>
    <w:p>
      <w:pPr>
        <w:pStyle w:val="Heading2"/>
      </w:pPr>
      <w:bookmarkStart w:id="27" w:name="X4cadef4147971cf761d8ed8ba52870e463d59e1"/>
      <w:r>
        <w:t xml:space="preserve">THE REFERRAL-FEE STRUCTURE (OR WHY THERE IS NO REFERRAL FEE FOR YOU)</w:t>
      </w:r>
      <w:bookmarkEnd w:id="27"/>
    </w:p>
    <w:p>
      <w:pPr>
        <w:pStyle w:val="FirstParagraph"/>
      </w:pPr>
      <w:r>
        <w:t xml:space="preserve">Let’s be direct about the money.</w:t>
      </w:r>
    </w:p>
    <w:p>
      <w:pPr>
        <w:pStyle w:val="BodyText"/>
      </w:pPr>
      <w:r>
        <w:t xml:space="preserve">California does not allow attorneys to pay referral fees to non-attorneys for routing legal clients. Cal. Bus. &amp; Prof. Code § 6152 makes it a misdemeanor for a non-attorney to accept a</w:t>
      </w:r>
      <w:r>
        <w:t xml:space="preserve"> </w:t>
      </w:r>
      <w:r>
        <w:t xml:space="preserve">“</w:t>
      </w:r>
      <w:r>
        <w:t xml:space="preserve">capper</w:t>
      </w:r>
      <w:r>
        <w:t xml:space="preserve">”</w:t>
      </w:r>
      <w:r>
        <w:t xml:space="preserve"> </w:t>
      </w:r>
      <w:r>
        <w:t xml:space="preserve">fee, and California Rule of Professional Conduct 7.2(b) prohibits a lawyer from</w:t>
      </w:r>
      <w:r>
        <w:t xml:space="preserve"> </w:t>
      </w:r>
      <w:r>
        <w:t xml:space="preserve">“</w:t>
      </w:r>
      <w:r>
        <w:t xml:space="preserve">giving anything of value</w:t>
      </w:r>
      <w:r>
        <w:t xml:space="preserve">”</w:t>
      </w:r>
      <w:r>
        <w:t xml:space="preserve"> </w:t>
      </w:r>
      <w:r>
        <w:t xml:space="preserve">for recommending the lawyer’s services, with narrow exceptions (reasonable advertising costs, State Bar-certified lawyer referral services, reciprocal referral agreements disclosed to the client).</w:t>
      </w:r>
    </w:p>
    <w:p>
      <w:pPr>
        <w:pStyle w:val="BodyText"/>
      </w:pPr>
      <w:r>
        <w:t xml:space="preserve">That means I cannot pay you, and Shawn cannot pay you, a fee for each client you route to us. That’s not a negotiation — it’s statutory.</w:t>
      </w:r>
    </w:p>
    <w:p>
      <w:pPr>
        <w:pStyle w:val="BodyText"/>
      </w:pPr>
      <w:r>
        <w:rPr>
          <w:b/>
        </w:rPr>
        <w:t xml:space="preserve">What IS compliant:</w:t>
      </w:r>
    </w:p>
    <w:p>
      <w:pPr>
        <w:numPr>
          <w:ilvl w:val="0"/>
          <w:numId w:val="1002"/>
        </w:numPr>
      </w:pPr>
      <w:r>
        <w:rPr>
          <w:b/>
        </w:rPr>
        <w:t xml:space="preserve">A reciprocal referral relationship.</w:t>
      </w:r>
      <w:r>
        <w:t xml:space="preserve"> </w:t>
      </w:r>
      <w:r>
        <w:t xml:space="preserve">If your office ever needs help on a matter your attorney hasn’t pursued (exactly the situation you described to me), you route to us; if we ever encounter a matter that fits your attorney’s practice, we route back. No fees exchanged. Just good-faith reciprocity, disclosed to every client per Rule 7.2.</w:t>
      </w:r>
    </w:p>
    <w:p>
      <w:pPr>
        <w:numPr>
          <w:ilvl w:val="0"/>
          <w:numId w:val="1002"/>
        </w:numPr>
      </w:pPr>
      <w:r>
        <w:rPr>
          <w:b/>
        </w:rPr>
        <w:t xml:space="preserve">Inclusion in a State Bar-certified nonprofit lawyer referral service</w:t>
      </w:r>
      <w:r>
        <w:t xml:space="preserve"> </w:t>
      </w:r>
      <w:r>
        <w:t xml:space="preserve">under Bus. &amp; Prof. Code § 6155 — if we establish one in the future. That’s a longer-horizon possibility; not operational today.</w:t>
      </w:r>
    </w:p>
    <w:p>
      <w:pPr>
        <w:numPr>
          <w:ilvl w:val="0"/>
          <w:numId w:val="1002"/>
        </w:numPr>
      </w:pPr>
      <w:r>
        <w:rPr>
          <w:b/>
        </w:rPr>
        <w:t xml:space="preserve">Your attorney’s participation as co-counsel</w:t>
      </w:r>
      <w:r>
        <w:t xml:space="preserve"> </w:t>
      </w:r>
      <w:r>
        <w:t xml:space="preserve">on any matter where his expertise adds value — for example, if a probate litigation spawns out of an estate-planning engagement, your attorney could co-counsel with Shawn on the litigation, with fees disclosed and split per Cal. Rule of Professional Conduct 1.5.1 (attorney-to-attorney fee splits with client written consent). That’s attorney-to-attorney fee sharing, which is permitted.</w:t>
      </w:r>
    </w:p>
    <w:p>
      <w:pPr>
        <w:pStyle w:val="FirstParagraph"/>
      </w:pPr>
      <w:r>
        <w:t xml:space="preserve">What’s in it for you directly, then? Three things:</w:t>
      </w:r>
    </w:p>
    <w:p>
      <w:pPr>
        <w:numPr>
          <w:ilvl w:val="0"/>
          <w:numId w:val="1003"/>
        </w:numPr>
      </w:pPr>
      <w:r>
        <w:rPr>
          <w:b/>
        </w:rPr>
        <w:t xml:space="preserve">Your callers actually get served.</w:t>
      </w:r>
      <w:r>
        <w:t xml:space="preserve"> </w:t>
      </w:r>
      <w:r>
        <w:t xml:space="preserve">Right now those calls are going unanswered by your own attorney. You’re the one fielding the inquiries. Every caller you can route to a competent, attorney-supervised pipeline is a problem solved off your plate and a client whose needs are met.</w:t>
      </w:r>
    </w:p>
    <w:p>
      <w:pPr>
        <w:numPr>
          <w:ilvl w:val="0"/>
          <w:numId w:val="1003"/>
        </w:numPr>
      </w:pPr>
      <w:r>
        <w:rPr>
          <w:b/>
        </w:rPr>
        <w:t xml:space="preserve">Your reputation rises.</w:t>
      </w:r>
      <w:r>
        <w:t xml:space="preserve"> </w:t>
      </w:r>
      <w:r>
        <w:t xml:space="preserve">The clients you route to Shawn + Vince + Genesis will tell their friends. Your name goes on the list of people who knew where to send them. In Orange County, that kind of reputation compounds.</w:t>
      </w:r>
    </w:p>
    <w:p>
      <w:pPr>
        <w:numPr>
          <w:ilvl w:val="0"/>
          <w:numId w:val="1003"/>
        </w:numPr>
      </w:pPr>
      <w:r>
        <w:rPr>
          <w:b/>
        </w:rPr>
        <w:t xml:space="preserve">Your attorney’s practice benefits indirectly.</w:t>
      </w:r>
      <w:r>
        <w:t xml:space="preserve"> </w:t>
      </w:r>
      <w:r>
        <w:t xml:space="preserve">When Shawn handles a complex estate matter that spawns litigation (will contest, trust dispute, probate action), the litigation sometimes goes back to your attorney if your firm’s litigation practice fits. The goodwill flows both directions even without a referral fee.</w:t>
      </w:r>
    </w:p>
    <w:p>
      <w:r>
        <w:pict>
          <v:rect style="width:0;height:1.5pt" o:hralign="center" o:hrstd="t" o:hr="t"/>
        </w:pict>
      </w:r>
    </w:p>
    <w:p>
      <w:pPr>
        <w:pStyle w:val="Heading2"/>
      </w:pPr>
      <w:bookmarkStart w:id="28" w:name="vinces-case-management-portal"/>
      <w:r>
        <w:t xml:space="preserve">VINCE’S CASE MANAGEMENT PORTAL</w:t>
      </w:r>
      <w:bookmarkEnd w:id="28"/>
    </w:p>
    <w:p>
      <w:pPr>
        <w:pStyle w:val="FirstParagraph"/>
      </w:pPr>
      <w:r>
        <w:t xml:space="preserve">Every client we take gets a private case-management portal at</w:t>
      </w:r>
      <w:r>
        <w:t xml:space="preserve"> </w:t>
      </w:r>
      <w:r>
        <w:rPr>
          <w:b/>
        </w:rPr>
        <w:t xml:space="preserve">vince.myday7.com</w:t>
      </w:r>
      <w:r>
        <w:t xml:space="preserve"> </w:t>
      </w:r>
      <w:r>
        <w:t xml:space="preserve">— their own URL, their own login, all documents downloadable, case timelines visible, implementation status tracked, monitoring dashboard live. You’ve probably seen the Bella Kitchen and Segura case portals I’ve run for prior clients. The same infrastructure, but now productized for estate and asset-protection engagements.</w:t>
      </w:r>
    </w:p>
    <w:p>
      <w:pPr>
        <w:pStyle w:val="BodyText"/>
      </w:pPr>
      <w:r>
        <w:t xml:space="preserve">Clients you route will receive their portal login within 48 hours of signing both engagement letters. You’ll have visibility (with client consent) if you want to check progress on the client you routed.</w:t>
      </w:r>
    </w:p>
    <w:p>
      <w:r>
        <w:pict>
          <v:rect style="width:0;height:1.5pt" o:hralign="center" o:hrstd="t" o:hr="t"/>
        </w:pict>
      </w:r>
    </w:p>
    <w:p>
      <w:pPr>
        <w:pStyle w:val="Heading2"/>
      </w:pPr>
      <w:bookmarkStart w:id="29" w:name="how-to-route"/>
      <w:r>
        <w:t xml:space="preserve">HOW TO ROUTE</w:t>
      </w:r>
      <w:bookmarkEnd w:id="29"/>
    </w:p>
    <w:p>
      <w:pPr>
        <w:pStyle w:val="FirstParagraph"/>
      </w:pPr>
      <w:r>
        <w:t xml:space="preserve">When you get the next call that fits this pipeline:</w:t>
      </w:r>
    </w:p>
    <w:p>
      <w:pPr>
        <w:numPr>
          <w:ilvl w:val="0"/>
          <w:numId w:val="1004"/>
        </w:numPr>
      </w:pPr>
      <w:r>
        <w:rPr>
          <w:b/>
        </w:rPr>
        <w:t xml:space="preserve">Qualify briefly</w:t>
      </w:r>
      <w:r>
        <w:t xml:space="preserve"> </w:t>
      </w:r>
      <w:r>
        <w:t xml:space="preserve">— California resident? Has assets (home, retirement, rental, business)? Interested in trust-based planning or asset protection? Not currently in a pending lawsuit or divorce against which they’re trying to hide assets (that disqualifies them under California fraudulent-transfer law and neither we nor any ethical attorney will take the engagement)?</w:t>
      </w:r>
    </w:p>
    <w:p>
      <w:pPr>
        <w:numPr>
          <w:ilvl w:val="0"/>
          <w:numId w:val="1004"/>
        </w:numPr>
      </w:pPr>
      <w:r>
        <w:rPr>
          <w:b/>
        </w:rPr>
        <w:t xml:space="preserve">Make the introduction</w:t>
      </w:r>
      <w:r>
        <w:t xml:space="preserve"> </w:t>
      </w:r>
      <w:r>
        <w:t xml:space="preserve">— email or call me directly. My info: Vince Caruso, [phone], [email], vince.myday7.com.</w:t>
      </w:r>
    </w:p>
    <w:p>
      <w:pPr>
        <w:numPr>
          <w:ilvl w:val="0"/>
          <w:numId w:val="1004"/>
        </w:numPr>
      </w:pPr>
      <w:r>
        <w:rPr>
          <w:b/>
        </w:rPr>
        <w:t xml:space="preserve">Send them the public link</w:t>
      </w:r>
      <w:r>
        <w:t xml:space="preserve"> </w:t>
      </w:r>
      <w:r>
        <w:t xml:space="preserve">— vince.myday7.com/services walks them through the three tiers, the pricing, and the team. They can read before they call.</w:t>
      </w:r>
    </w:p>
    <w:p>
      <w:pPr>
        <w:numPr>
          <w:ilvl w:val="0"/>
          <w:numId w:val="1004"/>
        </w:numPr>
      </w:pPr>
      <w:r>
        <w:rPr>
          <w:b/>
        </w:rPr>
        <w:t xml:space="preserve">Let me know you routed them</w:t>
      </w:r>
      <w:r>
        <w:t xml:space="preserve"> </w:t>
      </w:r>
      <w:r>
        <w:t xml:space="preserve">— so I can flag their intake appropriately and so we can close the loop back to you when they’re onboarded.</w:t>
      </w:r>
    </w:p>
    <w:p>
      <w:pPr>
        <w:pStyle w:val="FirstParagraph"/>
      </w:pPr>
      <w:r>
        <w:t xml:space="preserve">I’ll take it from there. Initial call with the client within 48 hours. Intake questionnaire within 72 hours. Tier-specific proposal within another 72 hours. Engagement letters signed and work underway the following week.</w:t>
      </w:r>
    </w:p>
    <w:p>
      <w:r>
        <w:pict>
          <v:rect style="width:0;height:1.5pt" o:hralign="center" o:hrstd="t" o:hr="t"/>
        </w:pict>
      </w:r>
    </w:p>
    <w:p>
      <w:pPr>
        <w:pStyle w:val="Heading2"/>
      </w:pPr>
      <w:bookmarkStart w:id="30" w:name="bottom-line"/>
      <w:r>
        <w:t xml:space="preserve">BOTTOM LINE</w:t>
      </w:r>
      <w:bookmarkEnd w:id="30"/>
    </w:p>
    <w:p>
      <w:pPr>
        <w:pStyle w:val="FirstParagraph"/>
      </w:pPr>
      <w:r>
        <w:t xml:space="preserve">Your attorney hasn’t pursued this work, but the clients need it. We have the pipeline, the attorney of record, the AI-powered depth, and the pricing to serve them well. You protect your own compliance position by routing to</w:t>
      </w:r>
      <w:r>
        <w:t xml:space="preserve"> </w:t>
      </w:r>
      <w:r>
        <w:rPr>
          <w:b/>
        </w:rPr>
        <w:t xml:space="preserve">Shawn Olson</w:t>
      </w:r>
      <w:r>
        <w:t xml:space="preserve"> </w:t>
      </w:r>
      <w:r>
        <w:t xml:space="preserve">(an attorney) rather than to a non-attorney. You don’t receive a referral fee because California law doesn’t allow one — but you do receive the satisfaction of a problem solved, a reputation enhanced, and a reciprocal relationship available whenever your office needs a pipeline for work that doesn’t fit your attorney’s practice.</w:t>
      </w:r>
    </w:p>
    <w:p>
      <w:pPr>
        <w:pStyle w:val="BodyText"/>
      </w:pPr>
      <w:r>
        <w:t xml:space="preserve">Let’s talk. Call me whenever.</w:t>
      </w:r>
    </w:p>
    <w:p>
      <w:pPr>
        <w:pStyle w:val="BodyText"/>
      </w:pPr>
      <w:r>
        <w:t xml:space="preserve">— Vince Caruso</w:t>
      </w:r>
      <w:r>
        <w:t xml:space="preserve"> </w:t>
      </w:r>
      <w:r>
        <w:t xml:space="preserve">Vince Caruso Consulting / AB Legacy</w:t>
      </w:r>
      <w:r>
        <w:t xml:space="preserve"> </w:t>
      </w:r>
      <w:r>
        <w:t xml:space="preserve">vince.myday7.com</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2026-05-01T05:29:01Z</dcterms:created>
  <dcterms:modified xsi:type="dcterms:W3CDTF">2026-05-01T05:29:01Z</dcterms:modified>
</cp:coreProperties>
</file>

<file path=docProps/custom.xml><?xml version="1.0" encoding="utf-8"?>
<Properties xmlns="http://schemas.openxmlformats.org/officeDocument/2006/custom-properties" xmlns:vt="http://schemas.openxmlformats.org/officeDocument/2006/docPropsVTypes"/>
</file>