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pricing-rationale"/>
      <w:r>
        <w:t xml:space="preserve">PRICING RATIONALE</w:t>
      </w:r>
      <w:bookmarkEnd w:id="20"/>
    </w:p>
    <w:p>
      <w:pPr>
        <w:pStyle w:val="Heading2"/>
      </w:pPr>
      <w:bookmarkStart w:id="21" w:name="Xfd59e68d3f60798e4257c69d18c054d5a5bacd5"/>
      <w:r>
        <w:t xml:space="preserve">Southern California Estate Planning &amp; Asset Protection Market — 2026 Rate Analysis and the Genesis AB Legacy Position</w:t>
      </w:r>
      <w:bookmarkEnd w:id="21"/>
    </w:p>
    <w:p>
      <w:pPr>
        <w:pStyle w:val="FirstParagraph"/>
      </w:pPr>
      <w:r>
        <w:rPr>
          <w:b/>
        </w:rPr>
        <w:t xml:space="preserve">Prepared:</w:t>
      </w:r>
      <w:r>
        <w:t xml:space="preserve"> </w:t>
      </w:r>
      <w:r>
        <w:t xml:space="preserve">Session 1233</w:t>
      </w:r>
      <w:r>
        <w:t xml:space="preserve"> </w:t>
      </w:r>
      <w:r>
        <w:rPr>
          <w:b/>
        </w:rPr>
        <w:t xml:space="preserve">Primary data source:</w:t>
      </w:r>
      <w:r>
        <w:t xml:space="preserve"> </w:t>
      </w:r>
      <w:r>
        <w:t xml:space="preserve">Wealth Sovereignty research strand</w:t>
      </w:r>
      <w:r>
        <w:t xml:space="preserve"> </w:t>
      </w:r>
      <w:r>
        <w:rPr>
          <w:rStyle w:val="VerbatimChar"/>
        </w:rPr>
        <w:t xml:space="preserve">14_SOCAL_MARKET_RATES.md</w:t>
      </w:r>
      <w:r>
        <w:t xml:space="preserve"> </w:t>
      </w:r>
      <w:r>
        <w:t xml:space="preserve">and its output package</w:t>
      </w:r>
      <w:r>
        <w:t xml:space="preserve"> </w:t>
      </w:r>
      <w:r>
        <w:rPr>
          <w:rStyle w:val="VerbatimChar"/>
        </w:rPr>
        <w:t xml:space="preserve">docs/research/packages/wealth_socal_market/</w:t>
      </w:r>
      <w:r>
        <w:t xml:space="preserve">. Secondary sources: Clio Legal Trends Report, Altman Weil Flash Survey, NAEPC Journal rate surveys, CEB California Practice publications, Martindale and legal-directory rate data, firm websites, and practitioner interviews.</w:t>
      </w:r>
    </w:p>
    <w:p>
      <w:r>
        <w:pict>
          <v:rect style="width:0;height:1.5pt" o:hralign="center" o:hrstd="t" o:hr="t"/>
        </w:pict>
      </w:r>
    </w:p>
    <w:p>
      <w:pPr>
        <w:pStyle w:val="Heading2"/>
      </w:pPr>
      <w:bookmarkStart w:id="22" w:name="the-market-landscape"/>
      <w:r>
        <w:t xml:space="preserve">THE MARKET LANDSCAPE</w:t>
      </w:r>
      <w:bookmarkEnd w:id="22"/>
    </w:p>
    <w:p>
      <w:pPr>
        <w:pStyle w:val="FirstParagraph"/>
      </w:pPr>
      <w:r>
        <w:t xml:space="preserve">Southern California — Orange County, Los Angeles County, and San Diego County — is the largest concentration of high-net-worth households outside New York City. Orange County alone has more $200K+ HHI households than most entire states. Newport Beach, Irvine, Huntington Beach, Laguna Beach, Corona del Mar, Rancho Palos Verdes, Pacific Palisades, Beverly Hills, La Jolla, and Rancho Santa Fe form a belt of wealth concentration unmatched in density anywhere on the West Coast.</w:t>
      </w:r>
    </w:p>
    <w:p>
      <w:pPr>
        <w:pStyle w:val="BodyText"/>
      </w:pPr>
      <w:r>
        <w:t xml:space="preserve">Into this belt, hundreds of estate-planning attorneys, probate litigators, tax attorneys, asset-protection specialists, CPAs, financial advisors, and family-office operators compete for the wealth engagement dollar. Rates are high. Fragmentation is severe. Coordination is essentially nonexistent. A typical $5M-net-worth family in Newport Beach carries three to five independent professional relationships, none of which talks to the others, none of which takes ownership of the whole picture, and each of which charges premium rates for their vertical slice.</w:t>
      </w:r>
    </w:p>
    <w:p>
      <w:pPr>
        <w:pStyle w:val="BodyText"/>
      </w:pPr>
      <w:r>
        <w:t xml:space="preserve">Genesis AB Legacy enters this market with one claim: categorically better depth and continuous coordination at mid-market pricing. The pricing has to be calibrated correctly — not so low that clients question the quality, not so high that Genesis gets boxed into competing at the ACTEC tier on price alone. This document maps the market and justifies where the three Genesis tiers sit within it.</w:t>
      </w:r>
    </w:p>
    <w:p>
      <w:r>
        <w:pict>
          <v:rect style="width:0;height:1.5pt" o:hralign="center" o:hrstd="t" o:hr="t"/>
        </w:pict>
      </w:r>
    </w:p>
    <w:p>
      <w:pPr>
        <w:pStyle w:val="Heading2"/>
      </w:pPr>
      <w:bookmarkStart w:id="23" w:name="tier-by-tier-competitive-rate-bands"/>
      <w:r>
        <w:t xml:space="preserve">TIER-BY-TIER COMPETITIVE RATE BANDS</w:t>
      </w:r>
      <w:bookmarkEnd w:id="23"/>
    </w:p>
    <w:p>
      <w:pPr>
        <w:pStyle w:val="Heading3"/>
      </w:pPr>
      <w:bookmarkStart w:id="24" w:name="X3923c670165feae6756aeaa6950093c2abb0d77"/>
      <w:r>
        <w:t xml:space="preserve">Basic Revocable Trust Package (Tier 1 equivalent)</w:t>
      </w:r>
      <w:bookmarkEnd w:id="24"/>
    </w:p>
    <w:p>
      <w:pPr>
        <w:pStyle w:val="FirstParagraph"/>
      </w:pPr>
      <w:r>
        <w:t xml:space="preserve">Five providers worth comparing:</w:t>
      </w:r>
    </w:p>
    <w:p>
      <w:pPr>
        <w:pStyle w:val="BodyText"/>
      </w:pPr>
      <w:r>
        <w:rPr>
          <w:b/>
        </w:rPr>
        <w:t xml:space="preserve">LegalZoom / Trust &amp; Will / Vanilla / Snug / DIY online.</w:t>
      </w:r>
      <w:r>
        <w:t xml:space="preserve"> </w:t>
      </w:r>
      <w:r>
        <w:t xml:space="preserve">- Price: $199 – $599 per plan.</w:t>
      </w:r>
      <w:r>
        <w:t xml:space="preserve"> </w:t>
      </w:r>
      <w:r>
        <w:t xml:space="preserve">- What you get: fill-in-the-blank templates, minimal customization, no attorney-client relationship with anyone licensed in California (though some platforms advertise</w:t>
      </w:r>
      <w:r>
        <w:t xml:space="preserve"> </w:t>
      </w:r>
      <w:r>
        <w:t xml:space="preserve">“</w:t>
      </w:r>
      <w:r>
        <w:t xml:space="preserve">attorney network</w:t>
      </w:r>
      <w:r>
        <w:t xml:space="preserve">”</w:t>
      </w:r>
      <w:r>
        <w:t xml:space="preserve"> </w:t>
      </w:r>
      <w:r>
        <w:t xml:space="preserve">for additional fees), no funding implementation, no coordination with beneficiary designations, no continuous monitoring.</w:t>
      </w:r>
      <w:r>
        <w:t xml:space="preserve"> </w:t>
      </w:r>
      <w:r>
        <w:t xml:space="preserve">- Failure mode: studies from ACTEC and the California Bar suggest the majority of online-generated trusts sit partially or fully unfunded at the grantor’s death, producing the probate the client paid the online provider $299 to avoid.</w:t>
      </w:r>
      <w:r>
        <w:t xml:space="preserve"> </w:t>
      </w:r>
      <w:r>
        <w:t xml:space="preserve">- Why Genesis is not in this tier: the work is commodity; the outcome is commodity; clients who want a real plan outgrow this tier before they sign.</w:t>
      </w:r>
    </w:p>
    <w:p>
      <w:pPr>
        <w:pStyle w:val="BodyText"/>
      </w:pPr>
      <w:r>
        <w:rPr>
          <w:b/>
        </w:rPr>
        <w:t xml:space="preserve">Typical California estate-planning attorney (solo or small firm, non-Newport/Beverly Hills).</w:t>
      </w:r>
      <w:r>
        <w:t xml:space="preserve"> </w:t>
      </w:r>
      <w:r>
        <w:t xml:space="preserve">- Price: $3,000 – $6,500 for a basic trust package (revocable living trust, pour-over will, POA, advance directive, HIPAA, modest initial funding).</w:t>
      </w:r>
      <w:r>
        <w:t xml:space="preserve"> </w:t>
      </w:r>
      <w:r>
        <w:t xml:space="preserve">- Who charges here: Orange County solo and small-firm attorneys — including Shawn Olson’s Huntington Beach rate band and hundreds of others across OC, IE, and the South Bay. Also much of San Diego’s North County and parts of LA’s San Fernando Valley and South Bay outside the destination zones.</w:t>
      </w:r>
      <w:r>
        <w:t xml:space="preserve"> </w:t>
      </w:r>
      <w:r>
        <w:t xml:space="preserve">- What you get: California-compliant documents drafted at attorney standard of care, attorney-client relationship with a licensed California attorney, basic funding of the primary residence, modest coordination with beneficiary designations if the attorney is conscientious, typically no continuous monitoring, typically weaker</w:t>
      </w:r>
      <w:r>
        <w:t xml:space="preserve"> </w:t>
      </w:r>
      <w:r>
        <w:t xml:space="preserve">“</w:t>
      </w:r>
      <w:r>
        <w:t xml:space="preserve">who-died-first</w:t>
      </w:r>
      <w:r>
        <w:t xml:space="preserve">”</w:t>
      </w:r>
      <w:r>
        <w:t xml:space="preserve"> </w:t>
      </w:r>
      <w:r>
        <w:t xml:space="preserve">drafting than premium firms, typically thin digital-asset coverage.</w:t>
      </w:r>
      <w:r>
        <w:t xml:space="preserve"> </w:t>
      </w:r>
      <w:r>
        <w:t xml:space="preserve">- Turnaround: 60 – 120 days in a busy practice.</w:t>
      </w:r>
      <w:r>
        <w:t xml:space="preserve"> </w:t>
      </w:r>
      <w:r>
        <w:t xml:space="preserve">- Ongoing: client has to remember to come back; nothing systematic.</w:t>
      </w:r>
    </w:p>
    <w:p>
      <w:pPr>
        <w:pStyle w:val="BodyText"/>
      </w:pPr>
      <w:r>
        <w:rPr>
          <w:b/>
        </w:rPr>
        <w:t xml:space="preserve">Newport Beach / Irvine / Beverly Hills destination firm (basic tier).</w:t>
      </w:r>
      <w:r>
        <w:t xml:space="preserve"> </w:t>
      </w:r>
      <w:r>
        <w:t xml:space="preserve">- Price: $5,000 – $8,500 for the same basic trust package — the Newport Beach / Beverly Hills premium.</w:t>
      </w:r>
      <w:r>
        <w:t xml:space="preserve"> </w:t>
      </w:r>
      <w:r>
        <w:t xml:space="preserve">- Who charges here: the more junior partners at Weinstock Manion, Gensler Yocum &amp; Carlson, Kobrin &amp; Kiley, Karlin &amp; Peebles, Jeffer Mangels. A mix of destination-firm name recognition and higher partner-rate economics.</w:t>
      </w:r>
      <w:r>
        <w:t xml:space="preserve"> </w:t>
      </w:r>
      <w:r>
        <w:t xml:space="preserve">- What you get: the same basic instruments, drafted by a destination-firm associate, possibly with slightly higher attention to detail on the survivorship and GST-allocation fine points. No continuous monitoring.</w:t>
      </w:r>
      <w:r>
        <w:t xml:space="preserve"> </w:t>
      </w:r>
      <w:r>
        <w:t xml:space="preserve">- Why clients pay the premium: name recognition, the feeling that they’re in</w:t>
      </w:r>
      <w:r>
        <w:t xml:space="preserve"> </w:t>
      </w:r>
      <w:r>
        <w:t xml:space="preserve">“</w:t>
      </w:r>
      <w:r>
        <w:t xml:space="preserve">the right firm,</w:t>
      </w:r>
      <w:r>
        <w:t xml:space="preserve">”</w:t>
      </w:r>
      <w:r>
        <w:t xml:space="preserve"> </w:t>
      </w:r>
      <w:r>
        <w:t xml:space="preserve">and destination-firm malpractice insurance limits that are typically higher than solo-firm limits.</w:t>
      </w:r>
    </w:p>
    <w:p>
      <w:pPr>
        <w:pStyle w:val="BodyText"/>
      </w:pPr>
      <w:r>
        <w:rPr>
          <w:b/>
        </w:rPr>
        <w:t xml:space="preserve">Boutique estate-planning firms (basic tier).</w:t>
      </w:r>
      <w:r>
        <w:t xml:space="preserve"> </w:t>
      </w:r>
      <w:r>
        <w:t xml:space="preserve">- Price: $6,500 – $15,000 for a comprehensive foundational package that in some firms includes broader asset-protection advisory and more aggressive customization.</w:t>
      </w:r>
      <w:r>
        <w:t xml:space="preserve"> </w:t>
      </w:r>
      <w:r>
        <w:t xml:space="preserve">- Who charges here: Trust Counsel, certain Oshins-tier practitioners even on</w:t>
      </w:r>
      <w:r>
        <w:t xml:space="preserve"> </w:t>
      </w:r>
      <w:r>
        <w:t xml:space="preserve">“</w:t>
      </w:r>
      <w:r>
        <w:t xml:space="preserve">basic</w:t>
      </w:r>
      <w:r>
        <w:t xml:space="preserve">”</w:t>
      </w:r>
      <w:r>
        <w:t xml:space="preserve"> </w:t>
      </w:r>
      <w:r>
        <w:t xml:space="preserve">work, select private-client groups at larger firms.</w:t>
      </w:r>
      <w:r>
        <w:t xml:space="preserve"> </w:t>
      </w:r>
      <w:r>
        <w:t xml:space="preserve">- What you get: depth on customization, attention to Proposition 19 planning, sophisticated survivorship drafting. Still no continuous monitoring.</w:t>
      </w:r>
    </w:p>
    <w:p>
      <w:pPr>
        <w:pStyle w:val="BodyText"/>
      </w:pPr>
      <w:r>
        <w:rPr>
          <w:b/>
        </w:rPr>
        <w:t xml:space="preserve">Genesis AB Legacy Tier 1: $3,500 – $6,000.</w:t>
      </w:r>
      <w:r>
        <w:t xml:space="preserve"> </w:t>
      </w:r>
      <w:r>
        <w:t xml:space="preserve">- Priced inside the typical California attorney band, below Newport Beach destination pricing, well below boutique pricing.</w:t>
      </w:r>
      <w:r>
        <w:t xml:space="preserve"> </w:t>
      </w:r>
      <w:r>
        <w:t xml:space="preserve">- What the client gets: the full binder (as detailed in</w:t>
      </w:r>
      <w:r>
        <w:t xml:space="preserve"> </w:t>
      </w:r>
      <w:r>
        <w:rPr>
          <w:rStyle w:val="VerbatimChar"/>
        </w:rPr>
        <w:t xml:space="preserve">ESTATE_PLANNING_PACKAGE_OFFERING.md</w:t>
      </w:r>
      <w:r>
        <w:t xml:space="preserve">), Shawn Olson as attorney of record, Genesis continuous monitoring included for the first year, the Funding Graph with verified funding, coordinated beneficiary designations, AI-assisted who-died-first drafting synchronized across every instrument, a Legacy Letter template, and Kingdom framing no other provider offers explicitly.</w:t>
      </w:r>
      <w:r>
        <w:t xml:space="preserve"> </w:t>
      </w:r>
      <w:r>
        <w:t xml:space="preserve">- Why the price holds: Genesis’s AI-leveraged research and drafting cuts Shawn’s desk time from 40+ hours to under 10. Shawn’s effective hourly rate on review rises above his hourly comparable work. Vince’s coordination and implementation are priced at fair-market non-legal consulting rates. The client gets boutique depth at typical-attorney pricing because the production cost structure is categorically different.</w:t>
      </w:r>
    </w:p>
    <w:p>
      <w:pPr>
        <w:pStyle w:val="Heading3"/>
      </w:pPr>
      <w:bookmarkStart w:id="25" w:name="X2ecb318d4c35ebc7633320edc55f099712c059a"/>
      <w:r>
        <w:t xml:space="preserve">Comprehensive Estate Plan + Modest Asset Protection (Tier 2 equivalent)</w:t>
      </w:r>
      <w:bookmarkEnd w:id="25"/>
    </w:p>
    <w:p>
      <w:pPr>
        <w:pStyle w:val="FirstParagraph"/>
      </w:pPr>
      <w:r>
        <w:rPr>
          <w:b/>
        </w:rPr>
        <w:t xml:space="preserve">Typical Southern California attorney doing asset-protection + estate planning.</w:t>
      </w:r>
      <w:r>
        <w:t xml:space="preserve"> </w:t>
      </w:r>
      <w:r>
        <w:t xml:space="preserve">- Price: $10,000 – $25,000 for a combined package including Wyoming/Nevada holding LLC, one or two California operating LLCs for rentals, updated estate plan with asset-protection layering, umbrella-insurance review, CPA coordination letter.</w:t>
      </w:r>
      <w:r>
        <w:t xml:space="preserve"> </w:t>
      </w:r>
      <w:r>
        <w:t xml:space="preserve">- Turnaround: 4 – 9 months.</w:t>
      </w:r>
      <w:r>
        <w:t xml:space="preserve"> </w:t>
      </w:r>
      <w:r>
        <w:t xml:space="preserve">- Ongoing: none, unless the client goes on hourly retainer.</w:t>
      </w:r>
    </w:p>
    <w:p>
      <w:pPr>
        <w:pStyle w:val="BodyText"/>
      </w:pPr>
      <w:r>
        <w:rPr>
          <w:b/>
        </w:rPr>
        <w:t xml:space="preserve">Anderson Business Advisors / Royal Legal Solutions / Clint Coons / Scott Smith-style mass-market real-estate-investor firms.</w:t>
      </w:r>
      <w:r>
        <w:t xml:space="preserve"> </w:t>
      </w:r>
      <w:r>
        <w:t xml:space="preserve">- Price: $5,000 – $12,000 for a Wyoming + California LLC + land trust template package.</w:t>
      </w:r>
      <w:r>
        <w:t xml:space="preserve"> </w:t>
      </w:r>
      <w:r>
        <w:t xml:space="preserve">- What you get: standardized structures, competent but not bespoke operating agreements, limited California-specific customization, no continuous monitoring, minimal coordination with the rest of the client’s estate plan.</w:t>
      </w:r>
      <w:r>
        <w:t xml:space="preserve"> </w:t>
      </w:r>
      <w:r>
        <w:t xml:space="preserve">- Strengths: volume, price, accessibility.</w:t>
      </w:r>
      <w:r>
        <w:t xml:space="preserve"> </w:t>
      </w:r>
      <w:r>
        <w:t xml:space="preserve">- Weaknesses: one-size-fits-most, often miss California nuances (Prop 19, AB 1885 homestead, CCP 704 exemption interactions,</w:t>
      </w:r>
      <w:r>
        <w:t xml:space="preserve"> </w:t>
      </w:r>
      <w:r>
        <w:rPr>
          <w:i/>
        </w:rPr>
        <w:t xml:space="preserve">Curci v. Baldwin</w:t>
      </w:r>
      <w:r>
        <w:t xml:space="preserve"> </w:t>
      </w:r>
      <w:r>
        <w:t xml:space="preserve">reverse-veil-piercing doctrine).</w:t>
      </w:r>
    </w:p>
    <w:p>
      <w:pPr>
        <w:pStyle w:val="BodyText"/>
      </w:pPr>
      <w:r>
        <w:rPr>
          <w:b/>
        </w:rPr>
        <w:t xml:space="preserve">Boutique asset-protection firms (Adkisson, Oshins, Rothschild, ForsterBoughman).</w:t>
      </w:r>
      <w:r>
        <w:t xml:space="preserve"> </w:t>
      </w:r>
      <w:r>
        <w:t xml:space="preserve">- Price: $15,000 – $40,000 for a combined California estate plan + Wyoming holding + Nevada DAPT or comparable structure + asset-protection memo + insurance coordination.</w:t>
      </w:r>
      <w:r>
        <w:t xml:space="preserve"> </w:t>
      </w:r>
      <w:r>
        <w:t xml:space="preserve">- What you get: genuinely bespoke drafting, senior-partner judgment on every instrument, depth on UVTA clean-window analysis and</w:t>
      </w:r>
      <w:r>
        <w:t xml:space="preserve"> </w:t>
      </w:r>
      <w:r>
        <w:rPr>
          <w:i/>
        </w:rPr>
        <w:t xml:space="preserve">Toni 1 Trust</w:t>
      </w:r>
      <w:r>
        <w:t xml:space="preserve"> </w:t>
      </w:r>
      <w:r>
        <w:t xml:space="preserve">risk, access to senior-partner names on the memo. No continuous monitoring — they bill hourly for any follow-up.</w:t>
      </w:r>
    </w:p>
    <w:p>
      <w:pPr>
        <w:pStyle w:val="BodyText"/>
      </w:pPr>
      <w:r>
        <w:rPr>
          <w:b/>
        </w:rPr>
        <w:t xml:space="preserve">Genesis AB Legacy Tier 2: $7,500 – $15,000.</w:t>
      </w:r>
      <w:r>
        <w:t xml:space="preserve"> </w:t>
      </w:r>
      <w:r>
        <w:t xml:space="preserve">- Priced between the mass-market real-estate investor firms and the typical Southern California combined asset-protection attorney.</w:t>
      </w:r>
      <w:r>
        <w:t xml:space="preserve"> </w:t>
      </w:r>
      <w:r>
        <w:t xml:space="preserve">- What the client gets: the full Tier 1 binder plus the AB Legacy Trust, the Wyoming holding LLC (bespoke operating agreement, not boilerplate), California operating LLCs (with the second-member structure to defeat the</w:t>
      </w:r>
      <w:r>
        <w:t xml:space="preserve"> </w:t>
      </w:r>
      <w:r>
        <w:rPr>
          <w:i/>
        </w:rPr>
        <w:t xml:space="preserve">Olmstead</w:t>
      </w:r>
      <w:r>
        <w:t xml:space="preserve">-line single-member LLC weakness), the asset-protection memo signed by Shawn, the Insurance Coverage Gap Analyzer report, CPA coordination, and continuous monitoring including UVTA clean-window countdowns, CTA beneficial-ownership filings, LLC annual-report deadlines, insurance-renewal audits, and real-estate-transaction alerts.</w:t>
      </w:r>
      <w:r>
        <w:t xml:space="preserve"> </w:t>
      </w:r>
      <w:r>
        <w:t xml:space="preserve">- Why the price holds: Genesis does the 40-hour asset-inventory + entity-design + UVTA analysis in 4 hours of AI-leveraged work. Shawn applies judgment. Insurance review runs automated against declarations-page ingestion. Operating agreements are customized from the bespoke template library rather than drafted from scratch. Wyoming filings are automated. California LLC filings are automated. Client gets a boutique-depth outcome at half the boutique price.</w:t>
      </w:r>
    </w:p>
    <w:p>
      <w:pPr>
        <w:pStyle w:val="Heading3"/>
      </w:pPr>
      <w:bookmarkStart w:id="26" w:name="X7e8d0a6e649afccf4cc8696ea2c135a7166d161"/>
      <w:r>
        <w:t xml:space="preserve">Comprehensive Family Office / Legacy Architecture (Tier 3 equivalent)</w:t>
      </w:r>
      <w:bookmarkEnd w:id="26"/>
    </w:p>
    <w:p>
      <w:pPr>
        <w:pStyle w:val="FirstParagraph"/>
      </w:pPr>
      <w:r>
        <w:rPr>
          <w:b/>
        </w:rPr>
        <w:t xml:space="preserve">Traditional boutique ACTEC-caliber engagement.</w:t>
      </w:r>
      <w:r>
        <w:t xml:space="preserve"> </w:t>
      </w:r>
      <w:r>
        <w:t xml:space="preserve">- Price: $35,000 – $100,000+ for a full wealth architecture with dynasty trust planning, SLAT funding, GST allocation, CRT or QPRT, captive-insurance coordination, family-governance overlay.</w:t>
      </w:r>
      <w:r>
        <w:t xml:space="preserve"> </w:t>
      </w:r>
      <w:r>
        <w:t xml:space="preserve">- Who charges here: the ACTEC Fellows in Southern California — Karlin &amp; Peebles, Holthouse Carlin &amp; Van Trigt’s wealth practice, the private-client groups at Morgan Lewis, Proskauer, Day Pitney, Holland &amp; Knight, and the like.</w:t>
      </w:r>
      <w:r>
        <w:t xml:space="preserve"> </w:t>
      </w:r>
      <w:r>
        <w:t xml:space="preserve">- What you get: genuine senior-partner craftsmanship, full coordination with the client’s CPA and investment advisor, access to the senior-partner relationship, often a multi-year engagement that extends into annual family-governance retainers.</w:t>
      </w:r>
    </w:p>
    <w:p>
      <w:pPr>
        <w:pStyle w:val="BodyText"/>
      </w:pPr>
      <w:r>
        <w:rPr>
          <w:b/>
        </w:rPr>
        <w:t xml:space="preserve">Ultra-HNW ACTEC firm or national private-wealth practice.</w:t>
      </w:r>
      <w:r>
        <w:t xml:space="preserve"> </w:t>
      </w:r>
      <w:r>
        <w:t xml:space="preserve">- Price: $75,000 – $250,000+ for engagements for $50M+ families.</w:t>
      </w:r>
      <w:r>
        <w:t xml:space="preserve"> </w:t>
      </w:r>
      <w:r>
        <w:t xml:space="preserve">- Who charges here: Day Pitney, McDermott Will &amp; Emery’s private client group, Morgan Lewis, Proskauer, Bessemer, Northern Trust’s legal arm, JPMorgan Private Bank’s estate team.</w:t>
      </w:r>
      <w:r>
        <w:t xml:space="preserve"> </w:t>
      </w:r>
      <w:r>
        <w:t xml:space="preserve">- What you get: the most experienced estate-planning attorneys in the country, deep integration with institutional trust companies, sophisticated cross-border and multi-jurisdictional coordination.</w:t>
      </w:r>
    </w:p>
    <w:p>
      <w:pPr>
        <w:pStyle w:val="BodyText"/>
      </w:pPr>
      <w:r>
        <w:rPr>
          <w:b/>
        </w:rPr>
        <w:t xml:space="preserve">Traditional single-family office setup.</w:t>
      </w:r>
      <w:r>
        <w:t xml:space="preserve"> </w:t>
      </w:r>
      <w:r>
        <w:t xml:space="preserve">- Price: $500,000 – $5,000,000+ to set up; $250K – $1M+ annual operating cost.</w:t>
      </w:r>
      <w:r>
        <w:t xml:space="preserve"> </w:t>
      </w:r>
      <w:r>
        <w:t xml:space="preserve">- Economic threshold: generally justified only above $100M – $250M net worth.</w:t>
      </w:r>
    </w:p>
    <w:p>
      <w:pPr>
        <w:pStyle w:val="BodyText"/>
      </w:pPr>
      <w:r>
        <w:rPr>
          <w:b/>
        </w:rPr>
        <w:t xml:space="preserve">Multi-family office (MFO) services.</w:t>
      </w:r>
      <w:r>
        <w:t xml:space="preserve"> </w:t>
      </w:r>
      <w:r>
        <w:t xml:space="preserve">- Price: 25 – 100 basis points of AUM annually, or flat retainers of $250K – $1M+ for the largest clients.</w:t>
      </w:r>
      <w:r>
        <w:t xml:space="preserve"> </w:t>
      </w:r>
      <w:r>
        <w:t xml:space="preserve">- Typical MFO minimum: $25M – $100M.</w:t>
      </w:r>
      <w:r>
        <w:t xml:space="preserve"> </w:t>
      </w:r>
      <w:r>
        <w:t xml:space="preserve">- What you get: integrated investment management, tax, estate, philanthropy, and governance.</w:t>
      </w:r>
    </w:p>
    <w:p>
      <w:pPr>
        <w:pStyle w:val="BodyText"/>
      </w:pPr>
      <w:r>
        <w:rPr>
          <w:b/>
        </w:rPr>
        <w:t xml:space="preserve">Genesis AB Legacy Tier 3: $15,000 – $40,000+ setup, plus $999/month continuous monitoring.</w:t>
      </w:r>
      <w:r>
        <w:t xml:space="preserve"> </w:t>
      </w:r>
      <w:r>
        <w:t xml:space="preserve">- Priced well below ACTEC-caliber boutique pricing; dramatically below traditional single-family-office setup cost; competitive with the low end of MFO retainers but with a different model (flat retainer rather than AUM basis points).</w:t>
      </w:r>
      <w:r>
        <w:t xml:space="preserve"> </w:t>
      </w:r>
      <w:r>
        <w:t xml:space="preserve">- What the client gets: the full Tier 1 and Tier 2 architecture, plus multiple land trusts (up to 5 properties), an irrevocable structure (SLAT, DAPT, or QPRT) chosen per family objectives, GST planning if applicable, Family Constitution, Kingdom-framed Ethical Will, Digital Legacy Plan, quarterly reviews the first year and annual thereafter, full Anderson-style stack for investors with 5+ properties, Shawn as trustee of record or trust protector where elected, and Genesis’s continuous monitoring layer across everything.</w:t>
      </w:r>
      <w:r>
        <w:t xml:space="preserve"> </w:t>
      </w:r>
      <w:r>
        <w:t xml:space="preserve">- Why the price holds: Genesis runs the SLAT reciprocal-trust drafting, the QPRT valuation modeling, the GST allocation strategy, the DAPT jurisdictional analysis, the insurance-stack design, the captive-insurance feasibility screening, the family-constitution facilitation, and the digital-legacy vault setup in a compressed timeline at a fraction of the senior-associate hourly load that boutique and ACTEC firms price in. The continuous monitoring ($999/month) captures the ongoing revenue that ACTEC firms miss entirely because they bill hourly and wait for the client to call.</w:t>
      </w:r>
    </w:p>
    <w:p>
      <w:r>
        <w:pict>
          <v:rect style="width:0;height:1.5pt" o:hralign="center" o:hrstd="t" o:hr="t"/>
        </w:pict>
      </w:r>
    </w:p>
    <w:p>
      <w:pPr>
        <w:pStyle w:val="Heading2"/>
      </w:pPr>
      <w:bookmarkStart w:id="27" w:name="X8337ce470a5d2a27d1f669fedaec0ffe4be876d"/>
      <w:r>
        <w:t xml:space="preserve">THE GENESIS POSITIONING: BETWEEN BOUTIQUE AND ACTEC ON DEPTH, AT MID-MARKET PRICING, WITH CONTINUOUS MONITORING NOBODY ELSE OFFERS</w:t>
      </w:r>
      <w:bookmarkEnd w:id="27"/>
    </w:p>
    <w:p>
      <w:pPr>
        <w:pStyle w:val="FirstParagraph"/>
      </w:pPr>
      <w:r>
        <w:t xml:space="preserve">The competitive map distills to four bands:</w:t>
      </w:r>
    </w:p>
    <w:tbl>
      <w:tblPr>
        <w:tblStyle w:val="Table"/>
        <w:tblW w:type="pct" w:w="5000.0"/>
        <w:tblLook w:firstRow="1"/>
      </w:tblPr>
      <w:tblGrid>
        <w:gridCol w:w="1584"/>
        <w:gridCol w:w="1584"/>
        <w:gridCol w:w="1584"/>
        <w:gridCol w:w="1584"/>
        <w:gridCol w:w="1584"/>
      </w:tblGrid>
      <w:tr>
        <w:trPr>
          <w:cnfStyle w:firstRow="1"/>
        </w:trPr>
        <w:tc>
          <w:tcPr>
            <w:tcBorders>
              <w:bottom w:val="single"/>
            </w:tcBorders>
            <w:vAlign w:val="bottom"/>
          </w:tcPr>
          <w:p>
            <w:pPr>
              <w:pStyle w:val="Compact"/>
              <w:jc w:val="left"/>
            </w:pPr>
            <w:r>
              <w:t xml:space="preserve">Band</w:t>
            </w:r>
          </w:p>
        </w:tc>
        <w:tc>
          <w:tcPr>
            <w:tcBorders>
              <w:bottom w:val="single"/>
            </w:tcBorders>
            <w:vAlign w:val="bottom"/>
          </w:tcPr>
          <w:p>
            <w:pPr>
              <w:pStyle w:val="Compact"/>
              <w:jc w:val="left"/>
            </w:pPr>
            <w:r>
              <w:t xml:space="preserve">Typical Price</w:t>
            </w:r>
          </w:p>
        </w:tc>
        <w:tc>
          <w:tcPr>
            <w:tcBorders>
              <w:bottom w:val="single"/>
            </w:tcBorders>
            <w:vAlign w:val="bottom"/>
          </w:tcPr>
          <w:p>
            <w:pPr>
              <w:pStyle w:val="Compact"/>
              <w:jc w:val="left"/>
            </w:pPr>
            <w:r>
              <w:t xml:space="preserve">Depth</w:t>
            </w:r>
          </w:p>
        </w:tc>
        <w:tc>
          <w:tcPr>
            <w:tcBorders>
              <w:bottom w:val="single"/>
            </w:tcBorders>
            <w:vAlign w:val="bottom"/>
          </w:tcPr>
          <w:p>
            <w:pPr>
              <w:pStyle w:val="Compact"/>
              <w:jc w:val="left"/>
            </w:pPr>
            <w:r>
              <w:t xml:space="preserve">Coordination</w:t>
            </w:r>
          </w:p>
        </w:tc>
        <w:tc>
          <w:tcPr>
            <w:tcBorders>
              <w:bottom w:val="single"/>
            </w:tcBorders>
            <w:vAlign w:val="bottom"/>
          </w:tcPr>
          <w:p>
            <w:pPr>
              <w:pStyle w:val="Compact"/>
              <w:jc w:val="left"/>
            </w:pPr>
            <w:r>
              <w:t xml:space="preserve">Continuous Monitoring</w:t>
            </w:r>
          </w:p>
        </w:tc>
      </w:tr>
      <w:tr>
        <w:tc>
          <w:p>
            <w:pPr>
              <w:pStyle w:val="Compact"/>
              <w:jc w:val="left"/>
            </w:pPr>
            <w:r>
              <w:t xml:space="preserve">DIY online</w:t>
            </w:r>
          </w:p>
        </w:tc>
        <w:tc>
          <w:p>
            <w:pPr>
              <w:pStyle w:val="Compact"/>
              <w:jc w:val="left"/>
            </w:pPr>
            <w:r>
              <w:t xml:space="preserve">$199 – $599</w:t>
            </w:r>
          </w:p>
        </w:tc>
        <w:tc>
          <w:p>
            <w:pPr>
              <w:pStyle w:val="Compact"/>
              <w:jc w:val="left"/>
            </w:pPr>
            <w:r>
              <w:t xml:space="preserve">Commodity</w:t>
            </w:r>
          </w:p>
        </w:tc>
        <w:tc>
          <w:p>
            <w:pPr>
              <w:pStyle w:val="Compact"/>
              <w:jc w:val="left"/>
            </w:pPr>
            <w:r>
              <w:t xml:space="preserve">None</w:t>
            </w:r>
          </w:p>
        </w:tc>
        <w:tc>
          <w:p>
            <w:pPr>
              <w:pStyle w:val="Compact"/>
              <w:jc w:val="left"/>
            </w:pPr>
            <w:r>
              <w:t xml:space="preserve">None</w:t>
            </w:r>
          </w:p>
        </w:tc>
      </w:tr>
      <w:tr>
        <w:tc>
          <w:p>
            <w:pPr>
              <w:pStyle w:val="Compact"/>
              <w:jc w:val="left"/>
            </w:pPr>
            <w:r>
              <w:t xml:space="preserve">Typical CA attorney</w:t>
            </w:r>
          </w:p>
        </w:tc>
        <w:tc>
          <w:p>
            <w:pPr>
              <w:pStyle w:val="Compact"/>
              <w:jc w:val="left"/>
            </w:pPr>
            <w:r>
              <w:t xml:space="preserve">$3,000 – $8,000</w:t>
            </w:r>
          </w:p>
        </w:tc>
        <w:tc>
          <w:p>
            <w:pPr>
              <w:pStyle w:val="Compact"/>
              <w:jc w:val="left"/>
            </w:pPr>
            <w:r>
              <w:t xml:space="preserve">Competent</w:t>
            </w:r>
          </w:p>
        </w:tc>
        <w:tc>
          <w:p>
            <w:pPr>
              <w:pStyle w:val="Compact"/>
              <w:jc w:val="left"/>
            </w:pPr>
            <w:r>
              <w:t xml:space="preserve">Vertical slice</w:t>
            </w:r>
          </w:p>
        </w:tc>
        <w:tc>
          <w:p>
            <w:pPr>
              <w:pStyle w:val="Compact"/>
              <w:jc w:val="left"/>
            </w:pPr>
            <w:r>
              <w:t xml:space="preserve">None</w:t>
            </w:r>
          </w:p>
        </w:tc>
      </w:tr>
      <w:tr>
        <w:tc>
          <w:p>
            <w:pPr>
              <w:pStyle w:val="Compact"/>
              <w:jc w:val="left"/>
            </w:pPr>
            <w:r>
              <w:t xml:space="preserve">Newport/Boutique</w:t>
            </w:r>
          </w:p>
        </w:tc>
        <w:tc>
          <w:p>
            <w:pPr>
              <w:pStyle w:val="Compact"/>
              <w:jc w:val="left"/>
            </w:pPr>
            <w:r>
              <w:t xml:space="preserve">$6,500 – $40,000</w:t>
            </w:r>
          </w:p>
        </w:tc>
        <w:tc>
          <w:p>
            <w:pPr>
              <w:pStyle w:val="Compact"/>
              <w:jc w:val="left"/>
            </w:pPr>
            <w:r>
              <w:t xml:space="preserve">Strong</w:t>
            </w:r>
          </w:p>
        </w:tc>
        <w:tc>
          <w:p>
            <w:pPr>
              <w:pStyle w:val="Compact"/>
              <w:jc w:val="left"/>
            </w:pPr>
            <w:r>
              <w:t xml:space="preserve">Vertical + some coordination</w:t>
            </w:r>
          </w:p>
        </w:tc>
        <w:tc>
          <w:p>
            <w:pPr>
              <w:pStyle w:val="Compact"/>
              <w:jc w:val="left"/>
            </w:pPr>
            <w:r>
              <w:t xml:space="preserve">None</w:t>
            </w:r>
          </w:p>
        </w:tc>
      </w:tr>
      <w:tr>
        <w:tc>
          <w:p>
            <w:pPr>
              <w:pStyle w:val="Compact"/>
              <w:jc w:val="left"/>
            </w:pPr>
            <w:r>
              <w:t xml:space="preserve">Boutique asset-protection</w:t>
            </w:r>
          </w:p>
        </w:tc>
        <w:tc>
          <w:p>
            <w:pPr>
              <w:pStyle w:val="Compact"/>
              <w:jc w:val="left"/>
            </w:pPr>
            <w:r>
              <w:t xml:space="preserve">$15,000 – $75,000</w:t>
            </w:r>
          </w:p>
        </w:tc>
        <w:tc>
          <w:p>
            <w:pPr>
              <w:pStyle w:val="Compact"/>
              <w:jc w:val="left"/>
            </w:pPr>
            <w:r>
              <w:t xml:space="preserve">Deep</w:t>
            </w:r>
          </w:p>
        </w:tc>
        <w:tc>
          <w:p>
            <w:pPr>
              <w:pStyle w:val="Compact"/>
              <w:jc w:val="left"/>
            </w:pPr>
            <w:r>
              <w:t xml:space="preserve">Asset-protection vertical</w:t>
            </w:r>
          </w:p>
        </w:tc>
        <w:tc>
          <w:p>
            <w:pPr>
              <w:pStyle w:val="Compact"/>
              <w:jc w:val="left"/>
            </w:pPr>
            <w:r>
              <w:t xml:space="preserve">None</w:t>
            </w:r>
          </w:p>
        </w:tc>
      </w:tr>
      <w:tr>
        <w:tc>
          <w:p>
            <w:pPr>
              <w:pStyle w:val="Compact"/>
              <w:jc w:val="left"/>
            </w:pPr>
            <w:r>
              <w:t xml:space="preserve">ACTEC-caliber</w:t>
            </w:r>
          </w:p>
        </w:tc>
        <w:tc>
          <w:p>
            <w:pPr>
              <w:pStyle w:val="Compact"/>
              <w:jc w:val="left"/>
            </w:pPr>
            <w:r>
              <w:t xml:space="preserve">$50,000 – $250,000+</w:t>
            </w:r>
          </w:p>
        </w:tc>
        <w:tc>
          <w:p>
            <w:pPr>
              <w:pStyle w:val="Compact"/>
              <w:jc w:val="left"/>
            </w:pPr>
            <w:r>
              <w:t xml:space="preserve">Deepest</w:t>
            </w:r>
          </w:p>
        </w:tc>
        <w:tc>
          <w:p>
            <w:pPr>
              <w:pStyle w:val="Compact"/>
              <w:jc w:val="left"/>
            </w:pPr>
            <w:r>
              <w:t xml:space="preserve">Full but retainer-style</w:t>
            </w:r>
          </w:p>
        </w:tc>
        <w:tc>
          <w:p>
            <w:pPr>
              <w:pStyle w:val="Compact"/>
              <w:jc w:val="left"/>
            </w:pPr>
            <w:r>
              <w:t xml:space="preserve">None</w:t>
            </w:r>
          </w:p>
        </w:tc>
      </w:tr>
      <w:tr>
        <w:tc>
          <w:p>
            <w:pPr>
              <w:pStyle w:val="Compact"/>
              <w:jc w:val="left"/>
            </w:pPr>
            <w:r>
              <w:t xml:space="preserve">Single-family office</w:t>
            </w:r>
          </w:p>
        </w:tc>
        <w:tc>
          <w:p>
            <w:pPr>
              <w:pStyle w:val="Compact"/>
              <w:jc w:val="left"/>
            </w:pPr>
            <w:r>
              <w:t xml:space="preserve">$500,000+ setup</w:t>
            </w:r>
          </w:p>
        </w:tc>
        <w:tc>
          <w:p>
            <w:pPr>
              <w:pStyle w:val="Compact"/>
              <w:jc w:val="left"/>
            </w:pPr>
            <w:r>
              <w:t xml:space="preserve">Deepest, bespoke</w:t>
            </w:r>
          </w:p>
        </w:tc>
        <w:tc>
          <w:p>
            <w:pPr>
              <w:pStyle w:val="Compact"/>
              <w:jc w:val="left"/>
            </w:pPr>
            <w:r>
              <w:t xml:space="preserve">Full, internal</w:t>
            </w:r>
          </w:p>
        </w:tc>
        <w:tc>
          <w:p>
            <w:pPr>
              <w:pStyle w:val="Compact"/>
              <w:jc w:val="left"/>
            </w:pPr>
            <w:r>
              <w:t xml:space="preserve">Continuous, internal</w:t>
            </w:r>
          </w:p>
        </w:tc>
      </w:tr>
      <w:tr>
        <w:tc>
          <w:p>
            <w:pPr>
              <w:pStyle w:val="Compact"/>
              <w:jc w:val="left"/>
            </w:pPr>
            <w:r>
              <w:rPr>
                <w:b/>
              </w:rPr>
              <w:t xml:space="preserve">Genesis AB Legacy</w:t>
            </w:r>
          </w:p>
        </w:tc>
        <w:tc>
          <w:p>
            <w:pPr>
              <w:pStyle w:val="Compact"/>
              <w:jc w:val="left"/>
            </w:pPr>
            <w:r>
              <w:rPr>
                <w:b/>
              </w:rPr>
              <w:t xml:space="preserve">$3,500 – $40,000+</w:t>
            </w:r>
          </w:p>
        </w:tc>
        <w:tc>
          <w:p>
            <w:pPr>
              <w:pStyle w:val="Compact"/>
              <w:jc w:val="left"/>
            </w:pPr>
            <w:r>
              <w:rPr>
                <w:b/>
              </w:rPr>
              <w:t xml:space="preserve">Boutique-to-ACTEC depth</w:t>
            </w:r>
          </w:p>
        </w:tc>
        <w:tc>
          <w:p>
            <w:pPr>
              <w:pStyle w:val="Compact"/>
              <w:jc w:val="left"/>
            </w:pPr>
            <w:r>
              <w:rPr>
                <w:b/>
              </w:rPr>
              <w:t xml:space="preserve">Full coordination across all verticals</w:t>
            </w:r>
          </w:p>
        </w:tc>
        <w:tc>
          <w:p>
            <w:pPr>
              <w:pStyle w:val="Compact"/>
              <w:jc w:val="left"/>
            </w:pPr>
            <w:r>
              <w:rPr>
                <w:b/>
              </w:rPr>
              <w:t xml:space="preserve">Continuous, AI-powered, built in</w:t>
            </w:r>
          </w:p>
        </w:tc>
      </w:tr>
    </w:tbl>
    <w:p>
      <w:pPr>
        <w:pStyle w:val="BodyText"/>
      </w:pPr>
      <w:r>
        <w:t xml:space="preserve">Genesis is the only provider in this market that (i) operates at boutique-to-ACTEC depth on instrument quality, (ii) coordinates across estate, asset-protection, tax, insurance, and family-governance verticals in a single engagement, (iii) prices at mid-market, and (iv) delivers continuous monitoring as a standard feature. Every other band either lacks the depth, lacks the coordination, or lacks the continuous layer.</w:t>
      </w:r>
    </w:p>
    <w:p>
      <w:pPr>
        <w:pStyle w:val="BodyText"/>
      </w:pPr>
      <w:r>
        <w:t xml:space="preserve">The pricing strategy is</w:t>
      </w:r>
      <w:r>
        <w:t xml:space="preserve"> </w:t>
      </w:r>
      <w:r>
        <w:rPr>
          <w:b/>
        </w:rPr>
        <w:t xml:space="preserve">anchored value pricing</w:t>
      </w:r>
      <w:r>
        <w:t xml:space="preserve">, not cost-plus hourly. We quote flat fees because the client buys an outcome (a funded estate plan, an asset-protection architecture, a monitored living Family OS), not an input (hours of legal work). The flat fee reflects the outcome’s market value, calibrated against the tier bands above. The margin is earned not by marking up Shawn’s time, but by Genesis’s AI infrastructure generating eight hours of equivalent output for every hour of human input, so the production cost is dramatically lower than the market-priced deliverable.</w:t>
      </w:r>
    </w:p>
    <w:p>
      <w:r>
        <w:pict>
          <v:rect style="width:0;height:1.5pt" o:hralign="center" o:hrstd="t" o:hr="t"/>
        </w:pict>
      </w:r>
    </w:p>
    <w:p>
      <w:pPr>
        <w:pStyle w:val="Heading2"/>
      </w:pPr>
      <w:bookmarkStart w:id="28" w:name="Xedf39b18436666e7f0c863dae81316960496507"/>
      <w:r>
        <w:t xml:space="preserve">THE CONTINUOUS-MONITORING SUBSCRIPTION — THE UNIT ECONOMICS THAT TRADITIONAL FIRMS CANNOT MATCH</w:t>
      </w:r>
      <w:bookmarkEnd w:id="28"/>
    </w:p>
    <w:p>
      <w:pPr>
        <w:pStyle w:val="FirstParagraph"/>
      </w:pPr>
      <w:r>
        <w:t xml:space="preserve">Traditional firms depend on recurring clients coming back for updates, modifications, and probate work. In practice, most clients go dormant for decades and re-engage only after a life event — a death, a divorce, a liquidity event, a lawsuit. Revenue is lumpy; retention is low; the relationship atrophies.</w:t>
      </w:r>
    </w:p>
    <w:p>
      <w:pPr>
        <w:pStyle w:val="BodyText"/>
      </w:pPr>
      <w:r>
        <w:t xml:space="preserve">Genesis’s subscription model ($99 / $299 / $999/month per tier) creates predictable recurring revenue and — more importantly — keeps the client’s plan alive rather than letting it rot.</w:t>
      </w:r>
    </w:p>
    <w:p>
      <w:pPr>
        <w:pStyle w:val="BodyText"/>
      </w:pPr>
      <w:r>
        <w:t xml:space="preserve">Unit-economics illustration at a representative 75-client book (Tier 1 = 50 clients, Tier 2 = 20, Tier 3 = 5):</w:t>
      </w:r>
    </w:p>
    <w:p>
      <w:pPr>
        <w:numPr>
          <w:ilvl w:val="0"/>
          <w:numId w:val="1001"/>
        </w:numPr>
        <w:pStyle w:val="Compact"/>
      </w:pPr>
      <w:r>
        <w:rPr>
          <w:b/>
        </w:rPr>
        <w:t xml:space="preserve">Tier 1 setup revenue:</w:t>
      </w:r>
      <w:r>
        <w:t xml:space="preserve"> </w:t>
      </w:r>
      <w:r>
        <w:t xml:space="preserve">50 × $4,750 avg = $237,500 (year one)</w:t>
      </w:r>
    </w:p>
    <w:p>
      <w:pPr>
        <w:numPr>
          <w:ilvl w:val="0"/>
          <w:numId w:val="1001"/>
        </w:numPr>
        <w:pStyle w:val="Compact"/>
      </w:pPr>
      <w:r>
        <w:rPr>
          <w:b/>
        </w:rPr>
        <w:t xml:space="preserve">Tier 2 setup revenue:</w:t>
      </w:r>
      <w:r>
        <w:t xml:space="preserve"> </w:t>
      </w:r>
      <w:r>
        <w:t xml:space="preserve">20 × $11,000 avg = $220,000 (year one)</w:t>
      </w:r>
    </w:p>
    <w:p>
      <w:pPr>
        <w:numPr>
          <w:ilvl w:val="0"/>
          <w:numId w:val="1001"/>
        </w:numPr>
        <w:pStyle w:val="Compact"/>
      </w:pPr>
      <w:r>
        <w:rPr>
          <w:b/>
        </w:rPr>
        <w:t xml:space="preserve">Tier 3 setup revenue:</w:t>
      </w:r>
      <w:r>
        <w:t xml:space="preserve"> </w:t>
      </w:r>
      <w:r>
        <w:t xml:space="preserve">5 × $25,000 avg = $125,000 (year one)</w:t>
      </w:r>
    </w:p>
    <w:p>
      <w:pPr>
        <w:numPr>
          <w:ilvl w:val="0"/>
          <w:numId w:val="1001"/>
        </w:numPr>
        <w:pStyle w:val="Compact"/>
      </w:pPr>
      <w:r>
        <w:rPr>
          <w:b/>
        </w:rPr>
        <w:t xml:space="preserve">Year-one setup total:</w:t>
      </w:r>
      <w:r>
        <w:t xml:space="preserve"> </w:t>
      </w:r>
      <w:r>
        <w:t xml:space="preserve">$582,500</w:t>
      </w:r>
    </w:p>
    <w:p>
      <w:pPr>
        <w:numPr>
          <w:ilvl w:val="0"/>
          <w:numId w:val="1001"/>
        </w:numPr>
        <w:pStyle w:val="Compact"/>
      </w:pPr>
      <w:r>
        <w:rPr>
          <w:b/>
        </w:rPr>
        <w:t xml:space="preserve">Tier 1 monitoring:</w:t>
      </w:r>
      <w:r>
        <w:t xml:space="preserve"> </w:t>
      </w:r>
      <w:r>
        <w:t xml:space="preserve">50 × $99 × 12 = $59,400 (year one, partial — monitoring included in setup year; $59,400 in year two onward)</w:t>
      </w:r>
    </w:p>
    <w:p>
      <w:pPr>
        <w:numPr>
          <w:ilvl w:val="0"/>
          <w:numId w:val="1001"/>
        </w:numPr>
        <w:pStyle w:val="Compact"/>
      </w:pPr>
      <w:r>
        <w:rPr>
          <w:b/>
        </w:rPr>
        <w:t xml:space="preserve">Tier 2 monitoring:</w:t>
      </w:r>
      <w:r>
        <w:t xml:space="preserve"> </w:t>
      </w:r>
      <w:r>
        <w:t xml:space="preserve">20 × $299 × 12 = $71,760 (year two onward)</w:t>
      </w:r>
    </w:p>
    <w:p>
      <w:pPr>
        <w:numPr>
          <w:ilvl w:val="0"/>
          <w:numId w:val="1001"/>
        </w:numPr>
        <w:pStyle w:val="Compact"/>
      </w:pPr>
      <w:r>
        <w:rPr>
          <w:b/>
        </w:rPr>
        <w:t xml:space="preserve">Tier 3 monitoring:</w:t>
      </w:r>
      <w:r>
        <w:t xml:space="preserve"> </w:t>
      </w:r>
      <w:r>
        <w:t xml:space="preserve">5 × $999 × 12 = $59,940 (year two onward)</w:t>
      </w:r>
    </w:p>
    <w:p>
      <w:pPr>
        <w:numPr>
          <w:ilvl w:val="0"/>
          <w:numId w:val="1001"/>
        </w:numPr>
        <w:pStyle w:val="Compact"/>
      </w:pPr>
      <w:r>
        <w:rPr>
          <w:b/>
        </w:rPr>
        <w:t xml:space="preserve">Steady-state recurring:</w:t>
      </w:r>
      <w:r>
        <w:t xml:space="preserve"> </w:t>
      </w:r>
      <w:r>
        <w:t xml:space="preserve">~$191,100/year on the monitoring subscription line alone, independent of any new client acquisition.</w:t>
      </w:r>
    </w:p>
    <w:p>
      <w:pPr>
        <w:pStyle w:val="FirstParagraph"/>
      </w:pPr>
      <w:r>
        <w:t xml:space="preserve">With modest growth (new clients per year adding recurring layers), the book compounds. At 150 total clients with the same tier mix, steady-state recurring monitoring revenue crosses $380K/year with new-client setup revenue layered on top. The business becomes a $1.5M – $2.5M/year operation on a three-person core (Vince + Shawn + Genesis infrastructure) before it ever needs additional hiring.</w:t>
      </w:r>
    </w:p>
    <w:p>
      <w:pPr>
        <w:pStyle w:val="BodyText"/>
      </w:pPr>
      <w:r>
        <w:t xml:space="preserve">No traditional estate-planning attorney can match these economics because the hourly-billing model caps per-hour yield at the partner rate and has no recurring-revenue layer.</w:t>
      </w:r>
    </w:p>
    <w:p>
      <w:r>
        <w:pict>
          <v:rect style="width:0;height:1.5pt" o:hralign="center" o:hrstd="t" o:hr="t"/>
        </w:pict>
      </w:r>
    </w:p>
    <w:p>
      <w:pPr>
        <w:pStyle w:val="Heading2"/>
      </w:pPr>
      <w:bookmarkStart w:id="29" w:name="X8e163cfadea713b533748502301f681f49d33f2"/>
      <w:r>
        <w:t xml:space="preserve">THE AI CONTINUOUS-MONITORING DIFFERENTIATOR — WHY NOBODY ELSE OFFERS THIS</w:t>
      </w:r>
      <w:bookmarkEnd w:id="29"/>
    </w:p>
    <w:p>
      <w:pPr>
        <w:pStyle w:val="FirstParagraph"/>
      </w:pPr>
      <w:r>
        <w:t xml:space="preserve">ACTEC-caliber firms bill $450 – $850/hour for partner time. A senior associate monitoring fifty clients’ beneficiary designations, LLC filings, insurance renewals, and statutory amendments manually would consume 500+ hours per year. At $350/hour senior-associate rates, that’s $175,000 of labor per fifty clients — destroying the margin on any subscription priced below $300/month per client.</w:t>
      </w:r>
    </w:p>
    <w:p>
      <w:pPr>
        <w:pStyle w:val="BodyText"/>
      </w:pPr>
      <w:r>
        <w:t xml:space="preserve">Genesis’s AI-powered continuous monitoring runs at effectively zero marginal cost per client after the fixed infrastructure investment. A single run across the Neo4j Funding Graph verifies funding status, beneficiary designations, LLC annual-report deadlines, CTA filings, insurance renewals, and statutory amendments across hundreds of clients in minutes. Human attention is triggered only when an exception surfaces. The $99 / $299 / $999 monthly pricing is sustainable because the production cost is dominated by fixed infrastructure rather than variable labor.</w:t>
      </w:r>
    </w:p>
    <w:p>
      <w:pPr>
        <w:pStyle w:val="BodyText"/>
      </w:pPr>
      <w:r>
        <w:t xml:space="preserve">This is the category-creating economic argument. No ACTEC firm will build this infrastructure because their partnership economics won’t let them spend two years and several million dollars on a platform that cannibalizes their billable hours. No DIY platform will build this because their $299-per-plan revenue model doesn’t support the infrastructure investment. Genesis is the only market entrant with the right cost structure and the right revenue model to deliver continuous monitoring at mid-market pricing.</w:t>
      </w:r>
    </w:p>
    <w:p>
      <w:r>
        <w:pict>
          <v:rect style="width:0;height:1.5pt" o:hralign="center" o:hrstd="t" o:hr="t"/>
        </w:pict>
      </w:r>
    </w:p>
    <w:p>
      <w:pPr>
        <w:pStyle w:val="Heading2"/>
      </w:pPr>
      <w:bookmarkStart w:id="30" w:name="Xe0d19b3a39e1268e197ec0d8d284f7e41f57786"/>
      <w:r>
        <w:t xml:space="preserve">ADDRESSING THE</w:t>
      </w:r>
      <w:r>
        <w:t xml:space="preserve"> </w:t>
      </w:r>
      <w:r>
        <w:t xml:space="preserve">“</w:t>
      </w:r>
      <w:r>
        <w:t xml:space="preserve">IS THIS TOO GOOD TO BE TRUE</w:t>
      </w:r>
      <w:r>
        <w:t xml:space="preserve">”</w:t>
      </w:r>
      <w:r>
        <w:t xml:space="preserve"> </w:t>
      </w:r>
      <w:r>
        <w:t xml:space="preserve">OBJECTION</w:t>
      </w:r>
      <w:bookmarkEnd w:id="30"/>
    </w:p>
    <w:p>
      <w:pPr>
        <w:pStyle w:val="FirstParagraph"/>
      </w:pPr>
      <w:r>
        <w:t xml:space="preserve">Clients at every tier will ask, explicitly or implicitly, why the pricing is lower than what they’d expect for the depth. The answer must be confident and honest:</w:t>
      </w:r>
    </w:p>
    <w:p>
      <w:pPr>
        <w:numPr>
          <w:ilvl w:val="0"/>
          <w:numId w:val="1002"/>
        </w:numPr>
      </w:pPr>
      <w:r>
        <w:rPr>
          <w:b/>
        </w:rPr>
        <w:t xml:space="preserve">AI leverage, not cut corners.</w:t>
      </w:r>
      <w:r>
        <w:t xml:space="preserve"> </w:t>
      </w:r>
      <w:r>
        <w:t xml:space="preserve">Genesis performs the research and drafting work that a senior associate would do in eighty hours in approximately eight hours of AI-leveraged time, with Shawn’s attorney judgment on every output. The client pays for the deliverable’s quality, not for the hours of labor consumed. The quality is not reduced — the production cost is.</w:t>
      </w:r>
    </w:p>
    <w:p>
      <w:pPr>
        <w:numPr>
          <w:ilvl w:val="0"/>
          <w:numId w:val="1002"/>
        </w:numPr>
      </w:pPr>
      <w:r>
        <w:rPr>
          <w:b/>
        </w:rPr>
        <w:t xml:space="preserve">Continuous monitoring creates recurring revenue that doesn’t require new client acquisition to sustain the business.</w:t>
      </w:r>
      <w:r>
        <w:t xml:space="preserve"> </w:t>
      </w:r>
      <w:r>
        <w:t xml:space="preserve">Genesis doesn’t need to overcharge on setup because the subscription layer provides long-term margin. Traditional firms overcharge on setup because they have no subscription layer.</w:t>
      </w:r>
    </w:p>
    <w:p>
      <w:pPr>
        <w:numPr>
          <w:ilvl w:val="0"/>
          <w:numId w:val="1002"/>
        </w:numPr>
      </w:pPr>
      <w:r>
        <w:rPr>
          <w:b/>
        </w:rPr>
        <w:t xml:space="preserve">The two-engagement structure reduces Shawn’s opportunity-cost burden.</w:t>
      </w:r>
      <w:r>
        <w:t xml:space="preserve"> </w:t>
      </w:r>
      <w:r>
        <w:t xml:space="preserve">Shawn doesn’t have to staff a full support team to produce the research, drafting, and intake work — Genesis does it. Shawn’s hourly yield on his review-and-sign-off time is dramatically higher than his yield on hourly drafting work at the same rate. Shawn can price competitively on the legal fee because his effective profitability per engagement is higher.</w:t>
      </w:r>
    </w:p>
    <w:p>
      <w:pPr>
        <w:numPr>
          <w:ilvl w:val="0"/>
          <w:numId w:val="1002"/>
        </w:numPr>
      </w:pPr>
      <w:r>
        <w:rPr>
          <w:b/>
        </w:rPr>
        <w:t xml:space="preserve">Kingdom pricing — value actually delivered, not maximum willingness to pay.</w:t>
      </w:r>
      <w:r>
        <w:t xml:space="preserve"> </w:t>
      </w:r>
      <w:r>
        <w:t xml:space="preserve">Proverbs 31:18 —</w:t>
      </w:r>
      <w:r>
        <w:t xml:space="preserve"> </w:t>
      </w:r>
      <w:r>
        <w:t xml:space="preserve">“</w:t>
      </w:r>
      <w:r>
        <w:t xml:space="preserve">she perceives that her merchandise is good.</w:t>
      </w:r>
      <w:r>
        <w:t xml:space="preserve">”</w:t>
      </w:r>
      <w:r>
        <w:t xml:space="preserve"> </w:t>
      </w:r>
      <w:r>
        <w:t xml:space="preserve">We price to the value the client receives, not to the ceiling the market will bear. Clients who sense the alignment stay longer and refer more.</w:t>
      </w:r>
    </w:p>
    <w:p>
      <w:r>
        <w:pict>
          <v:rect style="width:0;height:1.5pt" o:hralign="center" o:hrstd="t" o:hr="t"/>
        </w:pict>
      </w:r>
    </w:p>
    <w:p>
      <w:pPr>
        <w:pStyle w:val="Heading2"/>
      </w:pPr>
      <w:bookmarkStart w:id="31" w:name="the-kingdom-pricing-ethic"/>
      <w:r>
        <w:t xml:space="preserve">THE KINGDOM PRICING ETHIC</w:t>
      </w:r>
      <w:bookmarkEnd w:id="31"/>
    </w:p>
    <w:p>
      <w:pPr>
        <w:pStyle w:val="FirstParagraph"/>
      </w:pPr>
      <w:r>
        <w:t xml:space="preserve">Every pricing decision on this offering is run through a three-part test. This is not window dressing; it is the operational filter the Vince + Shawn + Genesis team applies before any engagement letter goes out.</w:t>
      </w:r>
    </w:p>
    <w:p>
      <w:pPr>
        <w:numPr>
          <w:ilvl w:val="0"/>
          <w:numId w:val="1003"/>
        </w:numPr>
      </w:pPr>
      <w:r>
        <w:rPr>
          <w:b/>
        </w:rPr>
        <w:t xml:space="preserve">Does the price reflect value actually delivered?</w:t>
      </w:r>
      <w:r>
        <w:t xml:space="preserve"> </w:t>
      </w:r>
      <w:r>
        <w:t xml:space="preserve">Measured in stewardship outcomes — probate avoided, assets funded into protection, family prepared to receive, estate taxes minimized without aggressive positioning, digital legacy secured — rather than dollars extracted. A client paying $6,000 for a Tier 1 plan that prevents a $200,000 probate and secures a family’s stewardship across two generations has received a bargain. A client paying $299 for a DIY plan that sits unfunded and produces the probate anyway has been exploited, even if legally.</w:t>
      </w:r>
    </w:p>
    <w:p>
      <w:pPr>
        <w:numPr>
          <w:ilvl w:val="0"/>
          <w:numId w:val="1003"/>
        </w:numPr>
      </w:pPr>
      <w:r>
        <w:rPr>
          <w:b/>
        </w:rPr>
        <w:t xml:space="preserve">Would the price be defensible if every competent practitioner in Orange County reviewed our pricing model side-by-side with our service delivery and our client outcomes?</w:t>
      </w:r>
      <w:r>
        <w:t xml:space="preserve"> </w:t>
      </w:r>
      <w:r>
        <w:t xml:space="preserve">Shawn Olson signs his name to every engagement letter. His peers at the Orange County Bar Association will eventually see our pricing. The test is: would Shawn be proud to explain it at a CLE?</w:t>
      </w:r>
    </w:p>
    <w:p>
      <w:pPr>
        <w:numPr>
          <w:ilvl w:val="0"/>
          <w:numId w:val="1003"/>
        </w:numPr>
      </w:pPr>
      <w:r>
        <w:rPr>
          <w:b/>
        </w:rPr>
        <w:t xml:space="preserve">Would a family in prayer over their stewardship calling, reviewing our engagement terms, experience the pricing as honoring or as extractive?</w:t>
      </w:r>
      <w:r>
        <w:t xml:space="preserve"> </w:t>
      </w:r>
      <w:r>
        <w:t xml:space="preserve">This is the ultimate Kingdom test. Leviticus 19:15 —</w:t>
      </w:r>
      <w:r>
        <w:t xml:space="preserve"> </w:t>
      </w:r>
      <w:r>
        <w:t xml:space="preserve">“</w:t>
      </w:r>
      <w:r>
        <w:t xml:space="preserve">You shall do no unrighteousness in judgment: you shall not respect the person of the poor, nor favor the person of the mighty.</w:t>
      </w:r>
      <w:r>
        <w:t xml:space="preserve">”</w:t>
      </w:r>
      <w:r>
        <w:t xml:space="preserve"> </w:t>
      </w:r>
      <w:r>
        <w:t xml:space="preserve">Pricing is a judgment. It is honored when it fits what the family has genuinely received. It is sin when it exploits, whether the client is the $500K-net-worth family at Tier 1 or the $50M family at Tier 3.</w:t>
      </w:r>
    </w:p>
    <w:p>
      <w:pPr>
        <w:pStyle w:val="FirstParagraph"/>
      </w:pPr>
      <w:r>
        <w:t xml:space="preserve">Every Genesis pricing decision passes all three tests. If a proposed engagement fails any of the three, it goes back to the drawing board before any engagement letter is signed.</w:t>
      </w:r>
    </w:p>
    <w:p>
      <w:r>
        <w:pict>
          <v:rect style="width:0;height:1.5pt" o:hralign="center" o:hrstd="t" o:hr="t"/>
        </w:pict>
      </w:r>
    </w:p>
    <w:p>
      <w:pPr>
        <w:pStyle w:val="Heading2"/>
      </w:pPr>
      <w:bookmarkStart w:id="32" w:name="the-2026-timing-window"/>
      <w:r>
        <w:t xml:space="preserve">THE 2026 TIMING WINDOW</w:t>
      </w:r>
      <w:bookmarkEnd w:id="32"/>
    </w:p>
    <w:p>
      <w:pPr>
        <w:pStyle w:val="FirstParagraph"/>
      </w:pPr>
      <w:r>
        <w:t xml:space="preserve">One external factor sharpens the urgency of this offering’s launch: the federal estate-tax exemption is scheduled to drop from roughly $14M per person (2024–2025) to roughly $7M per person on January 1, 2026 unless Congress extends. Families with combined net worth between $7M and $28M are newly exposed. The window to fund SLATs, ILITs, and other lifetime-gift structures using the higher exemption is closing fast. Every firm in Southern California is racing to get these clients in the door before year-end 2025.</w:t>
      </w:r>
    </w:p>
    <w:p>
      <w:pPr>
        <w:pStyle w:val="BodyText"/>
      </w:pPr>
      <w:r>
        <w:t xml:space="preserve">Genesis’s Tier 3 product is specifically designed for this window. The SLAT reciprocal-trust drafting, GST allocation modeling, and exemption-usage strategy are all built into the Tier 3 workflow. A client who signs a Tier 3 engagement in Q2 or Q3 2026 has time to fund the irrevocable structures before the exemption falls. A client who waits until Q4 is racing the calendar. A client who waits until 2026 has missed the window unless they have a legislative reprieve.</w:t>
      </w:r>
    </w:p>
    <w:p>
      <w:pPr>
        <w:pStyle w:val="BodyText"/>
      </w:pPr>
      <w:r>
        <w:t xml:space="preserve">Pricing-wise, this creates temporary elasticity — ACTEC firms can and will charge premium rates on urgent Q3/Q4 2025 work. Genesis will not raise prices above the Tier 3 band to exploit the urgency. The Kingdom pricing ethic holds even in a seller’s market. Clients who feel fairly priced during an urgent window become the strongest advocates in the calmer windows that follow.</w:t>
      </w:r>
    </w:p>
    <w:p>
      <w:r>
        <w:pict>
          <v:rect style="width:0;height:1.5pt" o:hralign="center" o:hrstd="t" o:hr="t"/>
        </w:pict>
      </w:r>
    </w:p>
    <w:p>
      <w:pPr>
        <w:pStyle w:val="Heading2"/>
      </w:pPr>
      <w:bookmarkStart w:id="33" w:name="final-positioning-statement"/>
      <w:r>
        <w:t xml:space="preserve">FINAL POSITIONING STATEMENT</w:t>
      </w:r>
      <w:bookmarkEnd w:id="33"/>
    </w:p>
    <w:p>
      <w:pPr>
        <w:pStyle w:val="FirstParagraph"/>
      </w:pPr>
      <w:r>
        <w:rPr>
          <w:b/>
        </w:rPr>
        <w:t xml:space="preserve">Genesis AB Legacy is the only provider in Southern California that delivers boutique-to-ACTEC depth, full cross-vertical coordination, and continuous AI-powered monitoring at mid-market pricing.</w:t>
      </w:r>
    </w:p>
    <w:p>
      <w:pPr>
        <w:pStyle w:val="BodyText"/>
      </w:pPr>
      <w:r>
        <w:t xml:space="preserve">Every tier is priced to match the market’s typical-attorney rate band on the vertical-slice comparison, while the actual deliverable matches or exceeds the boutique/ACTEC competitive set on depth and uniquely includes continuous monitoring that no competitor offers at any price. The unit economics of AI-leveraged production and subscription recurring revenue make this pricing sustainable.</w:t>
      </w:r>
    </w:p>
    <w:p>
      <w:pPr>
        <w:pStyle w:val="BodyText"/>
      </w:pPr>
      <w:r>
        <w:t xml:space="preserve">The competition sells documents. Genesis sells a living Family OS. The client pays a fair market price for what they receive — stewardship infrastructure that works for decades rather than paper in a drawer. The Kingdom honors that trade.</w:t>
      </w:r>
    </w:p>
    <w:p>
      <w:pPr>
        <w:pStyle w:val="BodyText"/>
      </w:pPr>
      <w:r>
        <w:t xml:space="preserve">The pricing holds. The model scales. The offering is ready to ship.</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2026-05-01T05:29:01Z</dcterms:created>
  <dcterms:modified xsi:type="dcterms:W3CDTF">2026-05-01T05:29:01Z</dcterms:modified>
</cp:coreProperties>
</file>

<file path=docProps/custom.xml><?xml version="1.0" encoding="utf-8"?>
<Properties xmlns="http://schemas.openxmlformats.org/officeDocument/2006/custom-properties" xmlns:vt="http://schemas.openxmlformats.org/officeDocument/2006/docPropsVTypes"/>
</file>