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upl-compliance-framework"/>
      <w:r>
        <w:t xml:space="preserve">UPL COMPLIANCE FRAMEWORK</w:t>
      </w:r>
      <w:bookmarkEnd w:id="20"/>
    </w:p>
    <w:p>
      <w:pPr>
        <w:pStyle w:val="Heading2"/>
      </w:pPr>
      <w:bookmarkStart w:id="21" w:name="X4a0256f8008fdad829f61d3739bd29e314e93f2"/>
      <w:r>
        <w:t xml:space="preserve">California Unauthorized Practice of Law &amp; Fee-Splitting Architecture for the Vince Caruso + Shawn Olson + Genesis Estate Planning Offering</w:t>
      </w:r>
      <w:bookmarkEnd w:id="21"/>
    </w:p>
    <w:p>
      <w:pPr>
        <w:pStyle w:val="FirstParagraph"/>
      </w:pPr>
      <w:r>
        <w:rPr>
          <w:b/>
        </w:rPr>
        <w:t xml:space="preserve">Prepared:</w:t>
      </w:r>
      <w:r>
        <w:t xml:space="preserve"> </w:t>
      </w:r>
      <w:r>
        <w:t xml:space="preserve">Session 1233</w:t>
      </w:r>
      <w:r>
        <w:t xml:space="preserve"> </w:t>
      </w:r>
      <w:r>
        <w:rPr>
          <w:b/>
        </w:rPr>
        <w:t xml:space="preserve">Scope:</w:t>
      </w:r>
      <w:r>
        <w:t xml:space="preserve"> </w:t>
      </w:r>
      <w:r>
        <w:t xml:space="preserve">This framework governs every estate-planning and asset-protection engagement Vince Caruso Consulting and Genesis AI undertake in California. It is referenced into every engagement letter. It is the gating document — if the compliance architecture is wrong, nothing else matters. Shawn’s bar license and Vince’s freedom from § 6126 misdemeanor prosecution both run through this document.</w:t>
      </w:r>
    </w:p>
    <w:p>
      <w:r>
        <w:pict>
          <v:rect style="width:0;height:1.5pt" o:hralign="center" o:hrstd="t" o:hr="t"/>
        </w:pict>
      </w:r>
    </w:p>
    <w:p>
      <w:pPr>
        <w:pStyle w:val="Heading2"/>
      </w:pPr>
      <w:bookmarkStart w:id="22" w:name="why-this-framework-exists"/>
      <w:r>
        <w:t xml:space="preserve">WHY THIS FRAMEWORK EXISTS</w:t>
      </w:r>
      <w:bookmarkEnd w:id="22"/>
    </w:p>
    <w:p>
      <w:pPr>
        <w:pStyle w:val="FirstParagraph"/>
      </w:pPr>
      <w:r>
        <w:t xml:space="preserve">California is the strictest Unauthorized Practice of Law (</w:t>
      </w:r>
      <w:r>
        <w:t xml:space="preserve">“</w:t>
      </w:r>
      <w:r>
        <w:t xml:space="preserve">UPL</w:t>
      </w:r>
      <w:r>
        <w:t xml:space="preserve">”</w:t>
      </w:r>
      <w:r>
        <w:t xml:space="preserve">) jurisdiction in the United States. California Business &amp; Professions Code §§ 6125 and 6126 make the unlicensed practice of law a misdemeanor punishable by up to one year in county jail and/or a $1,000 fine, with a felony enhancement under § 6126(c) for anyone who falsely holds themselves out as an attorney. Injunctive and civil remedies are available under § 6126(b). The State Bar of California’s Office of Chief Trial Counsel prosecutes these cases independently of the Attorney General.</w:t>
      </w:r>
    </w:p>
    <w:p>
      <w:pPr>
        <w:pStyle w:val="BodyText"/>
      </w:pPr>
      <w:r>
        <w:t xml:space="preserve">On the attorney side, California Rule of Professional Conduct 5.4 prohibits a lawyer or law firm from sharing legal fees with a non-lawyer except in four narrow circumstances: employee salary or retirement payments (5.4(a)(1)), payments to a deceased lawyer’s estate (5.4(a)(2)), court-approved non-profit lawyer referral service fees (5.4(a)(3)), and non-profit entities that employ or retain the lawyer (5.4(a)(4)). Rule 5.4(b) prohibits partnership with a non-lawyer where any partnership activity is the practice of law. Rule 5.4(c) prohibits a non-lawyer from directing the lawyer’s professional judgment. Rule 5.4(d) prohibits non-lawyer ownership of a California law-practice corporation. Rule 7.2(b) prohibits giving anything of value for a recommendation of the lawyer’s services with narrow exceptions.</w:t>
      </w:r>
    </w:p>
    <w:p>
      <w:pPr>
        <w:pStyle w:val="BodyText"/>
      </w:pPr>
      <w:r>
        <w:t xml:space="preserve">Vince Caruso is not a California-licensed attorney. Genesis AI is not a California-licensed attorney. Shawn Olson is. The architecture below is the specific, statutory-cite-anchored way the three parties can work together on estate planning and asset protection for California clients without any of the three stepping over a line.</w:t>
      </w:r>
    </w:p>
    <w:p>
      <w:r>
        <w:pict>
          <v:rect style="width:0;height:1.5pt" o:hralign="center" o:hrstd="t" o:hr="t"/>
        </w:pict>
      </w:r>
    </w:p>
    <w:p>
      <w:pPr>
        <w:pStyle w:val="Heading2"/>
      </w:pPr>
      <w:bookmarkStart w:id="23" w:name="Xddcf012fbb9df5bc70841c76fbd5841cbe95935"/>
      <w:r>
        <w:t xml:space="preserve">WHAT VINCE CAN DO LEGALLY (THE PERMITTED PERIMETER)</w:t>
      </w:r>
      <w:bookmarkEnd w:id="23"/>
    </w:p>
    <w:p>
      <w:pPr>
        <w:pStyle w:val="FirstParagraph"/>
      </w:pPr>
      <w:r>
        <w:t xml:space="preserve">Under current California law, a non-attorney can perform a broad range of services related to estate planning and asset protection without committing the unauthorized practice of law, provided the activity does not cross into legal advice, legal document drafting for a specific client, or representation of a client before a tribunal. The perimeter below is drawn from (i) the statutory Legal Document Assistant framework at Business &amp; Professions Code §§ 6400–6415, (ii) the</w:t>
      </w:r>
      <w:r>
        <w:t xml:space="preserve"> </w:t>
      </w:r>
      <w:r>
        <w:rPr>
          <w:i/>
        </w:rPr>
        <w:t xml:space="preserve">Baron v. City of Los Angeles</w:t>
      </w:r>
      <w:r>
        <w:t xml:space="preserve"> </w:t>
      </w:r>
      <w:r>
        <w:t xml:space="preserve">(1970) 2 Cal.3d 535 four-factor test for what constitutes the practice of law, (iii) California State Bar COPRAC formal opinions, and (iv) the California Supreme Court’s</w:t>
      </w:r>
      <w:r>
        <w:t xml:space="preserve"> </w:t>
      </w:r>
      <w:r>
        <w:rPr>
          <w:i/>
        </w:rPr>
        <w:t xml:space="preserve">Birbrower, Montalbano, Condon &amp; Frank v. Superior Court</w:t>
      </w:r>
      <w:r>
        <w:t xml:space="preserve"> </w:t>
      </w:r>
      <w:r>
        <w:t xml:space="preserve">(1998) 17 Cal.4th 119 analysis of cross-practice boundaries.</w:t>
      </w:r>
    </w:p>
    <w:p>
      <w:pPr>
        <w:pStyle w:val="BodyText"/>
      </w:pPr>
      <w:r>
        <w:rPr>
          <w:b/>
        </w:rPr>
        <w:t xml:space="preserve">Vince and Genesis may, without UPL exposure:</w:t>
      </w:r>
    </w:p>
    <w:p>
      <w:pPr>
        <w:numPr>
          <w:ilvl w:val="0"/>
          <w:numId w:val="1001"/>
        </w:numPr>
      </w:pPr>
      <w:r>
        <w:rPr>
          <w:b/>
        </w:rPr>
        <w:t xml:space="preserve">Conduct client intake and relationship management.</w:t>
      </w:r>
      <w:r>
        <w:t xml:space="preserve"> </w:t>
      </w:r>
      <w:r>
        <w:t xml:space="preserve">Gathering facts, organizing information, maintaining the client relationship, conducting strategy conversations, running meetings.</w:t>
      </w:r>
    </w:p>
    <w:p>
      <w:pPr>
        <w:numPr>
          <w:ilvl w:val="0"/>
          <w:numId w:val="1001"/>
        </w:numPr>
      </w:pPr>
      <w:r>
        <w:rPr>
          <w:b/>
        </w:rPr>
        <w:t xml:space="preserve">Perform research.</w:t>
      </w:r>
      <w:r>
        <w:t xml:space="preserve"> </w:t>
      </w:r>
      <w:r>
        <w:t xml:space="preserve">Legal research — statutes, cases, regulations, practitioner treatises — is not the practice of law. Attorneys, law students, paralegals, legal librarians, and legal-tech services all perform research continuously. The practice-of-law line is crossed when research is</w:t>
      </w:r>
      <w:r>
        <w:t xml:space="preserve"> </w:t>
      </w:r>
      <w:r>
        <w:rPr>
          <w:i/>
        </w:rPr>
        <w:t xml:space="preserve">applied to a specific client’s facts as legal advice</w:t>
      </w:r>
      <w:r>
        <w:t xml:space="preserve"> </w:t>
      </w:r>
      <w:r>
        <w:t xml:space="preserve">— and Vince does not do that; Shawn does.</w:t>
      </w:r>
    </w:p>
    <w:p>
      <w:pPr>
        <w:numPr>
          <w:ilvl w:val="0"/>
          <w:numId w:val="1001"/>
        </w:numPr>
      </w:pPr>
      <w:r>
        <w:rPr>
          <w:b/>
        </w:rPr>
        <w:t xml:space="preserve">Prepare documents under the Legal Document Assistant (</w:t>
      </w:r>
      <w:r>
        <w:rPr>
          <w:b/>
        </w:rPr>
        <w:t xml:space="preserve">“</w:t>
      </w:r>
      <w:r>
        <w:rPr>
          <w:b/>
        </w:rPr>
        <w:t xml:space="preserve">LDA</w:t>
      </w:r>
      <w:r>
        <w:rPr>
          <w:b/>
        </w:rPr>
        <w:t xml:space="preserve">”</w:t>
      </w:r>
      <w:r>
        <w:rPr>
          <w:b/>
        </w:rPr>
        <w:t xml:space="preserve">) framework.</w:t>
      </w:r>
      <w:r>
        <w:t xml:space="preserve"> </w:t>
      </w:r>
      <w:r>
        <w:t xml:space="preserve">Business &amp; Professions Code § 6400(f) defines an LDA as a person who provides</w:t>
      </w:r>
      <w:r>
        <w:t xml:space="preserve"> </w:t>
      </w:r>
      <w:r>
        <w:t xml:space="preserve">“</w:t>
      </w:r>
      <w:r>
        <w:t xml:space="preserve">self-help service</w:t>
      </w:r>
      <w:r>
        <w:t xml:space="preserve">”</w:t>
      </w:r>
      <w:r>
        <w:t xml:space="preserve"> </w:t>
      </w:r>
      <w:r>
        <w:t xml:space="preserve">to a person representing themselves. Vince should register as an LDA in Orange County under § 6402 — registration with the county clerk, a $25,000 bond under § 6405, two-year registration term, minimum education requirements under § 6402.1 (high school plus paralegal certificate, or two years of law-related experience, or a bachelor’s degree). Registration gives Vince statutory authority to prepare documents at the client’s direction. This is not a substitute for Shawn’s attorney sign-off on instruments that constitute legal advice — it is a belt-and-suspenders layer that documents Vince’s compliance with the narrowest statutory category applicable to non-attorney document preparation.</w:t>
      </w:r>
    </w:p>
    <w:p>
      <w:pPr>
        <w:numPr>
          <w:ilvl w:val="0"/>
          <w:numId w:val="1001"/>
        </w:numPr>
      </w:pPr>
      <w:r>
        <w:rPr>
          <w:b/>
        </w:rPr>
        <w:t xml:space="preserve">Deliver education.</w:t>
      </w:r>
      <w:r>
        <w:t xml:space="preserve"> </w:t>
      </w:r>
      <w:r>
        <w:t xml:space="preserve">Books, webinars, courses, written materials, public speaking, YouTube videos, articles, podcasts — teaching legal concepts, explaining how estate planning and asset protection work, describing the consequences of having or not having a particular instrument — is First Amendment protected speech and is not the practice of law. The</w:t>
      </w:r>
      <w:r>
        <w:t xml:space="preserve"> </w:t>
      </w:r>
      <w:r>
        <w:rPr>
          <w:i/>
        </w:rPr>
        <w:t xml:space="preserve">Lowe v. SEC</w:t>
      </w:r>
      <w:r>
        <w:t xml:space="preserve"> </w:t>
      </w:r>
      <w:r>
        <w:t xml:space="preserve">(1985) 472 U.S. 181 line, the</w:t>
      </w:r>
      <w:r>
        <w:t xml:space="preserve"> </w:t>
      </w:r>
      <w:r>
        <w:rPr>
          <w:i/>
        </w:rPr>
        <w:t xml:space="preserve">Nolo Press</w:t>
      </w:r>
      <w:r>
        <w:t xml:space="preserve"> </w:t>
      </w:r>
      <w:r>
        <w:t xml:space="preserve">line of authority, and the federal-court analysis of the North Carolina and Texas LegalZoom consent decrees all confirm this.</w:t>
      </w:r>
    </w:p>
    <w:p>
      <w:pPr>
        <w:numPr>
          <w:ilvl w:val="0"/>
          <w:numId w:val="1001"/>
        </w:numPr>
      </w:pPr>
      <w:r>
        <w:rPr>
          <w:b/>
        </w:rPr>
        <w:t xml:space="preserve">Organize and inventory data.</w:t>
      </w:r>
      <w:r>
        <w:t xml:space="preserve"> </w:t>
      </w:r>
      <w:r>
        <w:t xml:space="preserve">Asset inventories, beneficiary matrices, compliance calendars, tax-basis tracking, insurance policy cataloging, digital-asset inventories — these are organizational and administrative functions, not the practice of law. Family-office coordinators, CPAs, financial advisors, and enrolled agents perform this work continuously without UPL issue.</w:t>
      </w:r>
    </w:p>
    <w:p>
      <w:pPr>
        <w:numPr>
          <w:ilvl w:val="0"/>
          <w:numId w:val="1001"/>
        </w:numPr>
      </w:pPr>
      <w:r>
        <w:rPr>
          <w:b/>
        </w:rPr>
        <w:t xml:space="preserve">Implement logistical work at the client’s direction.</w:t>
      </w:r>
      <w:r>
        <w:t xml:space="preserve"> </w:t>
      </w:r>
      <w:r>
        <w:t xml:space="preserve">Funding the trust by delivering signed deeds to a title company, coordinating with financial institutions to update titling, chasing lenders for due-on-sale confirmations, tracking progress, verifying completion. The key is that Vince acts</w:t>
      </w:r>
      <w:r>
        <w:t xml:space="preserve"> </w:t>
      </w:r>
      <w:r>
        <w:rPr>
          <w:i/>
        </w:rPr>
        <w:t xml:space="preserve">at the client’s direction and on instruments that have been drafted and approved by Shawn</w:t>
      </w:r>
      <w:r>
        <w:t xml:space="preserve">. The logistical implementation of attorney-approved instructions is not the practice of law.</w:t>
      </w:r>
    </w:p>
    <w:p>
      <w:pPr>
        <w:numPr>
          <w:ilvl w:val="0"/>
          <w:numId w:val="1001"/>
        </w:numPr>
      </w:pPr>
      <w:r>
        <w:rPr>
          <w:b/>
        </w:rPr>
        <w:t xml:space="preserve">Draft non-legal documents.</w:t>
      </w:r>
      <w:r>
        <w:t xml:space="preserve"> </w:t>
      </w:r>
      <w:r>
        <w:t xml:space="preserve">The Family Constitution, the Legacy Letter, the Ethical Will, values-elicitation documents, heir-education curricula, investment-policy statements (non-legal version), digital-asset inventories, compliance calendars — these are advisory documents, not legal instruments. They do not dispose of property, do not create legal rights or duties, and do not purport to be legal instruments.</w:t>
      </w:r>
    </w:p>
    <w:p>
      <w:pPr>
        <w:numPr>
          <w:ilvl w:val="0"/>
          <w:numId w:val="1001"/>
        </w:numPr>
      </w:pPr>
      <w:r>
        <w:rPr>
          <w:b/>
        </w:rPr>
        <w:t xml:space="preserve">Operate continuous monitoring.</w:t>
      </w:r>
      <w:r>
        <w:t xml:space="preserve"> </w:t>
      </w:r>
      <w:r>
        <w:t xml:space="preserve">Tracking statutory amendments, watching renewal dates, alerting on material changes, maintaining the Neo4j Funding Graph — this is a technology service, not the practice of law.</w:t>
      </w:r>
    </w:p>
    <w:p>
      <w:pPr>
        <w:numPr>
          <w:ilvl w:val="0"/>
          <w:numId w:val="1001"/>
        </w:numPr>
      </w:pPr>
      <w:r>
        <w:rPr>
          <w:b/>
        </w:rPr>
        <w:t xml:space="preserve">Coordinate among professionals.</w:t>
      </w:r>
      <w:r>
        <w:t xml:space="preserve"> </w:t>
      </w:r>
      <w:r>
        <w:t xml:space="preserve">Vince is the client’s relationship manager and can coordinate with the client’s CPA, financial advisor, insurance broker, and Shawn as attorney of record. Coordination is not the practice of law.</w:t>
      </w:r>
    </w:p>
    <w:p>
      <w:pPr>
        <w:numPr>
          <w:ilvl w:val="0"/>
          <w:numId w:val="1001"/>
        </w:numPr>
      </w:pPr>
      <w:r>
        <w:rPr>
          <w:b/>
        </w:rPr>
        <w:t xml:space="preserve">Charge for the above services at fair market rate.</w:t>
      </w:r>
      <w:r>
        <w:t xml:space="preserve"> </w:t>
      </w:r>
      <w:r>
        <w:t xml:space="preserve">Vince and Genesis bill the client directly under their own engagement letter at fair market rates for the non-legal services rendered, independent of the legal fees Shawn charges under his separate engagement letter. See the</w:t>
      </w:r>
      <w:r>
        <w:t xml:space="preserve"> </w:t>
      </w:r>
      <w:r>
        <w:t xml:space="preserve">“</w:t>
      </w:r>
      <w:r>
        <w:t xml:space="preserve">Fee Structure Compliance</w:t>
      </w:r>
      <w:r>
        <w:t xml:space="preserve">”</w:t>
      </w:r>
      <w:r>
        <w:t xml:space="preserve"> </w:t>
      </w:r>
      <w:r>
        <w:t xml:space="preserve">section below.</w:t>
      </w:r>
    </w:p>
    <w:p>
      <w:r>
        <w:pict>
          <v:rect style="width:0;height:1.5pt" o:hralign="center" o:hrstd="t" o:hr="t"/>
        </w:pict>
      </w:r>
    </w:p>
    <w:p>
      <w:pPr>
        <w:pStyle w:val="Heading2"/>
      </w:pPr>
      <w:bookmarkStart w:id="24" w:name="X09acef9f12e39da4551e55508a971bda3092d52"/>
      <w:r>
        <w:t xml:space="preserve">WHAT VINCE CANNOT DO (THE PROHIBITED PERIMETER)</w:t>
      </w:r>
      <w:bookmarkEnd w:id="24"/>
    </w:p>
    <w:p>
      <w:pPr>
        <w:pStyle w:val="FirstParagraph"/>
      </w:pPr>
      <w:r>
        <w:rPr>
          <w:b/>
        </w:rPr>
        <w:t xml:space="preserve">Vince and Genesis must not, under any circumstances:</w:t>
      </w:r>
    </w:p>
    <w:p>
      <w:pPr>
        <w:numPr>
          <w:ilvl w:val="0"/>
          <w:numId w:val="1002"/>
        </w:numPr>
      </w:pPr>
      <w:r>
        <w:rPr>
          <w:b/>
        </w:rPr>
        <w:t xml:space="preserve">Give legal advice to a specific client on that client’s specific facts.</w:t>
      </w:r>
      <w:r>
        <w:t xml:space="preserve"> </w:t>
      </w:r>
      <w:r>
        <w:t xml:space="preserve">“</w:t>
      </w:r>
      <w:r>
        <w:t xml:space="preserve">Your estate is over the 2026 exemption threshold and you should fund a SLAT before January 1</w:t>
      </w:r>
      <w:r>
        <w:t xml:space="preserve">”</w:t>
      </w:r>
      <w:r>
        <w:t xml:space="preserve"> </w:t>
      </w:r>
      <w:r>
        <w:t xml:space="preserve">is legal advice applied to specific facts. Vince does not say it. Shawn says it, or Vince routes the question to Shawn.</w:t>
      </w:r>
      <w:r>
        <w:t xml:space="preserve"> </w:t>
      </w:r>
      <w:r>
        <w:t xml:space="preserve">“</w:t>
      </w:r>
      <w:r>
        <w:t xml:space="preserve">Here is how the 2026 exemption reduction generally works, here are the instruments generally used to address it, and here is what your options generally look like for families in your net-worth band</w:t>
      </w:r>
      <w:r>
        <w:t xml:space="preserve">”</w:t>
      </w:r>
      <w:r>
        <w:t xml:space="preserve"> </w:t>
      </w:r>
      <w:r>
        <w:t xml:space="preserve">is education — that Vince can say.</w:t>
      </w:r>
    </w:p>
    <w:p>
      <w:pPr>
        <w:numPr>
          <w:ilvl w:val="0"/>
          <w:numId w:val="1002"/>
        </w:numPr>
      </w:pPr>
      <w:r>
        <w:rPr>
          <w:b/>
        </w:rPr>
        <w:t xml:space="preserve">Represent clients in court or before an administrative tribunal.</w:t>
      </w:r>
      <w:r>
        <w:t xml:space="preserve"> </w:t>
      </w:r>
      <w:r>
        <w:t xml:space="preserve">This is a bright-line attorney-only function under Cal. Bus. &amp; Prof. Code § 6125. Vince does not appear. Shawn appears if appearance is required.</w:t>
      </w:r>
    </w:p>
    <w:p>
      <w:pPr>
        <w:numPr>
          <w:ilvl w:val="0"/>
          <w:numId w:val="1002"/>
        </w:numPr>
      </w:pPr>
      <w:r>
        <w:rPr>
          <w:b/>
        </w:rPr>
        <w:t xml:space="preserve">Draft legal documents for a specific client without attorney oversight.</w:t>
      </w:r>
      <w:r>
        <w:t xml:space="preserve"> </w:t>
      </w:r>
      <w:r>
        <w:t xml:space="preserve">The land trust, the revocable trust, the will, the POA, the healthcare directive, the operating agreement, the deed, the assignment, the asset-protection memo — every one of these is a legal instrument or constitutes legal advice. Genesis produces the drafts as vendor work product. Shawn reviews, applies legal judgment, makes any corrections, signs off as drafting attorney, and delivers to the client as Shawn’s work product. The attorney-client relationship exists between Shawn and the client.</w:t>
      </w:r>
    </w:p>
    <w:p>
      <w:pPr>
        <w:numPr>
          <w:ilvl w:val="0"/>
          <w:numId w:val="1002"/>
        </w:numPr>
      </w:pPr>
      <w:r>
        <w:rPr>
          <w:b/>
        </w:rPr>
        <w:t xml:space="preserve">Negotiate legal terms with adverse parties.</w:t>
      </w:r>
      <w:r>
        <w:t xml:space="preserve"> </w:t>
      </w:r>
      <w:r>
        <w:t xml:space="preserve">Where a negotiation is required (with a creditor, a tenant, a contractor, a co-owner), Shawn handles it if the negotiation bears on the client’s legal position.</w:t>
      </w:r>
    </w:p>
    <w:p>
      <w:pPr>
        <w:numPr>
          <w:ilvl w:val="0"/>
          <w:numId w:val="1002"/>
        </w:numPr>
      </w:pPr>
      <w:r>
        <w:rPr>
          <w:b/>
        </w:rPr>
        <w:t xml:space="preserve">Hold client funds.</w:t>
      </w:r>
      <w:r>
        <w:t xml:space="preserve"> </w:t>
      </w:r>
      <w:r>
        <w:t xml:space="preserve">Legal fees and client trust funds flow through Shawn’s IOLTA account. Vince’s consulting fees flow into Vince’s operating account. No commingling. Ever.</w:t>
      </w:r>
    </w:p>
    <w:p>
      <w:pPr>
        <w:numPr>
          <w:ilvl w:val="0"/>
          <w:numId w:val="1002"/>
        </w:numPr>
      </w:pPr>
      <w:r>
        <w:rPr>
          <w:b/>
        </w:rPr>
        <w:t xml:space="preserve">Appear to be a law firm, a law office, or a lawyer.</w:t>
      </w:r>
      <w:r>
        <w:t xml:space="preserve"> </w:t>
      </w:r>
      <w:r>
        <w:t xml:space="preserve">Vince’s website (vince.myday7.com), marketing materials, business cards, and engagement letters must all be explicit that Vince provides consulting, research, and implementation services — not legal services — and that any legal services required are provided by Shawn Olson, Esq. under a separate engagement.</w:t>
      </w:r>
    </w:p>
    <w:p>
      <w:pPr>
        <w:numPr>
          <w:ilvl w:val="0"/>
          <w:numId w:val="1002"/>
        </w:numPr>
      </w:pPr>
      <w:r>
        <w:rPr>
          <w:b/>
        </w:rPr>
        <w:t xml:space="preserve">Share in legal fees.</w:t>
      </w:r>
      <w:r>
        <w:t xml:space="preserve"> </w:t>
      </w:r>
      <w:r>
        <w:t xml:space="preserve">Rule 5.4 prohibits it categorically. Any compensation Vince receives for a client engagement is for Vince’s non-legal services, not a share of Shawn’s legal fee.</w:t>
      </w:r>
    </w:p>
    <w:p>
      <w:pPr>
        <w:numPr>
          <w:ilvl w:val="0"/>
          <w:numId w:val="1002"/>
        </w:numPr>
      </w:pPr>
      <w:r>
        <w:rPr>
          <w:b/>
        </w:rPr>
        <w:t xml:space="preserve">Receive a referral fee from Shawn for routing clients to Shawn.</w:t>
      </w:r>
      <w:r>
        <w:t xml:space="preserve"> </w:t>
      </w:r>
      <w:r>
        <w:t xml:space="preserve">Rule 7.2(b) and Business &amp; Professions Code § 6152 prohibit this. Vince does not receive anything of value from Shawn for recommending Shawn to a client.</w:t>
      </w:r>
    </w:p>
    <w:p>
      <w:pPr>
        <w:numPr>
          <w:ilvl w:val="0"/>
          <w:numId w:val="1002"/>
        </w:numPr>
      </w:pPr>
      <w:r>
        <w:rPr>
          <w:b/>
        </w:rPr>
        <w:t xml:space="preserve">Make an engagement decision that binds Shawn.</w:t>
      </w:r>
      <w:r>
        <w:t xml:space="preserve"> </w:t>
      </w:r>
      <w:r>
        <w:t xml:space="preserve">Shawn accepts or declines each client on his own attorney judgment. Vince can recommend, can prepare the intake package, can run the initial conversation — but the attorney-client relationship is not formed until Shawn signs the engagement letter.</w:t>
      </w:r>
    </w:p>
    <w:p>
      <w:pPr>
        <w:numPr>
          <w:ilvl w:val="0"/>
          <w:numId w:val="1002"/>
        </w:numPr>
      </w:pPr>
      <w:r>
        <w:rPr>
          <w:b/>
        </w:rPr>
        <w:t xml:space="preserve">Provide professional-responsibility-regulated tax advice without the appropriate credential.</w:t>
      </w:r>
      <w:r>
        <w:t xml:space="preserve"> </w:t>
      </w:r>
      <w:r>
        <w:t xml:space="preserve">Tax advice is a separate regulatory line — the IRS Circular 230 framework governs practice before the IRS, and holding out as a tax advisor without an EA, CPA, or attorney credential raises its own issues. Vince does not give tax advice; he coordinates with the client’s CPA or Shawn on tax-adjacent issues.</w:t>
      </w:r>
    </w:p>
    <w:p>
      <w:r>
        <w:pict>
          <v:rect style="width:0;height:1.5pt" o:hralign="center" o:hrstd="t" o:hr="t"/>
        </w:pict>
      </w:r>
    </w:p>
    <w:p>
      <w:pPr>
        <w:pStyle w:val="Heading2"/>
      </w:pPr>
      <w:bookmarkStart w:id="25" w:name="the-shawn-olson-partnership-structure"/>
      <w:r>
        <w:t xml:space="preserve">THE SHAWN OLSON PARTNERSHIP STRUCTURE</w:t>
      </w:r>
      <w:bookmarkEnd w:id="25"/>
    </w:p>
    <w:p>
      <w:pPr>
        <w:pStyle w:val="FirstParagraph"/>
      </w:pPr>
      <w:r>
        <w:t xml:space="preserve">The three parties — Vince Caruso Consulting (and Genesis AI, operating through the Vince engagement for California-facing work), Shawn Olson’s law practice, and the client — operate under a</w:t>
      </w:r>
      <w:r>
        <w:t xml:space="preserve"> </w:t>
      </w:r>
      <w:r>
        <w:rPr>
          <w:b/>
        </w:rPr>
        <w:t xml:space="preserve">two-engagement-letter architecture</w:t>
      </w:r>
      <w:r>
        <w:t xml:space="preserve"> </w:t>
      </w:r>
      <w:r>
        <w:t xml:space="preserve">that is the cleanest compliant structure for California fee-splitting and UPL purposes. This architecture is drawn from the analysis in the</w:t>
      </w:r>
      <w:r>
        <w:t xml:space="preserve"> </w:t>
      </w:r>
      <w:r>
        <w:rPr>
          <w:rStyle w:val="VerbatimChar"/>
        </w:rPr>
        <w:t xml:space="preserve">wealth_california_compliance</w:t>
      </w:r>
      <w:r>
        <w:t xml:space="preserve"> </w:t>
      </w:r>
      <w:r>
        <w:t xml:space="preserve">research strand and is consistent with COPRAC Formal Opinions 2019-197 (virtual law practice) and the California State Bar’s practical guidance on AI-assisted legal work (November 2023).</w:t>
      </w:r>
    </w:p>
    <w:p>
      <w:pPr>
        <w:pStyle w:val="BodyText"/>
      </w:pPr>
      <w:r>
        <w:rPr>
          <w:b/>
        </w:rPr>
        <w:t xml:space="preserve">Engagement 1: Client ↔ Shawn Olson’s Law Practice.</w:t>
      </w:r>
      <w:r>
        <w:t xml:space="preserve"> </w:t>
      </w:r>
      <w:r>
        <w:t xml:space="preserve">- Scope: legal services — review and attorney sign-off of every legal instrument, legal advice on every judgment call, document execution and recording, trust and will signing ceremonies, attorney of record on every legal filing, professional liability insurance in force.</w:t>
      </w:r>
      <w:r>
        <w:t xml:space="preserve"> </w:t>
      </w:r>
      <w:r>
        <w:t xml:space="preserve">- Fees: Shawn’s independent fee schedule (flat fee or hourly, disclosed in writing per Cal. Bus. &amp; Prof. Code § 6148). Fees paid by the client directly into Shawn’s IOLTA or operating account.</w:t>
      </w:r>
      <w:r>
        <w:t xml:space="preserve"> </w:t>
      </w:r>
      <w:r>
        <w:t xml:space="preserve">- Conflict disclosure, confidentiality, termination rights, bar-mandated provisions all per California Rules of Professional Conduct 1.1, 1.2, 1.3, 1.4, 1.6, 1.7, 1.16, 1.18, 5.3, and 5.4.</w:t>
      </w:r>
    </w:p>
    <w:p>
      <w:pPr>
        <w:pStyle w:val="BodyText"/>
      </w:pPr>
      <w:r>
        <w:rPr>
          <w:b/>
        </w:rPr>
        <w:t xml:space="preserve">Engagement 2: Client ↔ Vince Caruso Consulting (with Genesis AI as the underlying intelligence platform).</w:t>
      </w:r>
      <w:r>
        <w:t xml:space="preserve"> </w:t>
      </w:r>
      <w:r>
        <w:t xml:space="preserve">- Scope: non-legal services — intake, research, document preparation under the LDA framework, family-constitution drafting, Legacy Letter drafting, digital-asset inventory, compliance calendar, Funding Graph maintenance, continuous monitoring, implementation logistics, relationship management.</w:t>
      </w:r>
      <w:r>
        <w:t xml:space="preserve"> </w:t>
      </w:r>
      <w:r>
        <w:t xml:space="preserve">- Explicit carve-out: this engagement is NOT an attorney-client relationship; Vince and Genesis are NOT law firms and do NOT provide legal services; any legal services required are provided by Shawn under the separate Engagement 1.</w:t>
      </w:r>
      <w:r>
        <w:t xml:space="preserve"> </w:t>
      </w:r>
      <w:r>
        <w:t xml:space="preserve">- Fees: Vince’s independent fee schedule (flat fee per tier, plus monthly subscription for monitoring). Fees paid by the client directly into Vince’s operating account. No commingling with Shawn’s trust account.</w:t>
      </w:r>
    </w:p>
    <w:p>
      <w:pPr>
        <w:pStyle w:val="BodyText"/>
      </w:pPr>
      <w:r>
        <w:rPr>
          <w:b/>
        </w:rPr>
        <w:t xml:space="preserve">Coordination Authorization.</w:t>
      </w:r>
      <w:r>
        <w:t xml:space="preserve"> </w:t>
      </w:r>
      <w:r>
        <w:t xml:space="preserve">A three-party coordination authorization, signed by the client, grants Vince, Shawn, and Genesis the authority to communicate with each other about the client’s matter. This is not a joint engagement. It is three engagements (client-Shawn, client-Vince, Vince-Shawn-Genesis coordination) with communication rights.</w:t>
      </w:r>
    </w:p>
    <w:p>
      <w:pPr>
        <w:pStyle w:val="BodyText"/>
      </w:pPr>
      <w:r>
        <w:rPr>
          <w:b/>
        </w:rPr>
        <w:t xml:space="preserve">Shawn ↔ Genesis Vendor Relationship.</w:t>
      </w:r>
      <w:r>
        <w:t xml:space="preserve"> </w:t>
      </w:r>
      <w:r>
        <w:t xml:space="preserve">Where Genesis produces research and drafting work product that is delivered to Shawn for attorney review, Shawn may separately pay Genesis a fair-market vendor fee under a vendor-services agreement. This is analogous to the fees attorneys pay to expert witnesses, investigators, document-review vendors, and e-discovery providers — permitted under the long-established rule that a lawyer may pay a non-lawyer for specific services rendered at market rate independent of case outcome. Compliance conditions: (i) the fee is for specific services (research hours, drafting hours, document preparation) at documented market rate, (ii) the fee is independent of the client’s legal outcome (no contingency, no percentage of Shawn’s legal fee, no per-client success bonus), (iii) the fee is invoiced and paid through Shawn’s operating account (not the IOLTA), (iv) the invoice documents the actual services rendered, (v) the arrangement is disclosed to the client in the engagement letter. This is a</w:t>
      </w:r>
      <w:r>
        <w:t xml:space="preserve"> </w:t>
      </w:r>
      <w:r>
        <w:rPr>
          <w:b/>
        </w:rPr>
        <w:t xml:space="preserve">vendor-services payment</w:t>
      </w:r>
      <w:r>
        <w:t xml:space="preserve">, not a fee split.</w:t>
      </w:r>
    </w:p>
    <w:p>
      <w:pPr>
        <w:pStyle w:val="BodyText"/>
      </w:pPr>
      <w:r>
        <w:rPr>
          <w:b/>
        </w:rPr>
        <w:t xml:space="preserve">Fee-Split Firewall (Rule 5.4).</w:t>
      </w:r>
      <w:r>
        <w:t xml:space="preserve"> </w:t>
      </w:r>
      <w:r>
        <w:t xml:space="preserve">- Shawn’s legal fees flow into Shawn’s IOLTA/operating account and stay there.</w:t>
      </w:r>
      <w:r>
        <w:t xml:space="preserve"> </w:t>
      </w:r>
      <w:r>
        <w:t xml:space="preserve">- Vince/Genesis consulting fees flow into the Vince operating account and stay there.</w:t>
      </w:r>
      <w:r>
        <w:t xml:space="preserve"> </w:t>
      </w:r>
      <w:r>
        <w:t xml:space="preserve">- Shawn’s vendor-services payments to Genesis flow from Shawn’s operating account to Genesis, at fair market rate for services rendered, NOT as a percentage of Shawn’s legal fee on any particular client.</w:t>
      </w:r>
      <w:r>
        <w:t xml:space="preserve"> </w:t>
      </w:r>
      <w:r>
        <w:t xml:space="preserve">- No pooled fee. No percentage sharing of legal work. No contingency-tied consulting fee.</w:t>
      </w:r>
      <w:r>
        <w:t xml:space="preserve"> </w:t>
      </w:r>
      <w:r>
        <w:t xml:space="preserve">- Every dollar has a documented source, a documented destination, and a documented service rendered.</w:t>
      </w:r>
    </w:p>
    <w:p>
      <w:r>
        <w:pict>
          <v:rect style="width:0;height:1.5pt" o:hralign="center" o:hrstd="t" o:hr="t"/>
        </w:pict>
      </w:r>
    </w:p>
    <w:p>
      <w:pPr>
        <w:pStyle w:val="Heading2"/>
      </w:pPr>
      <w:bookmarkStart w:id="26" w:name="X8b37075c9dd80955873583eb547c91061fa1ab6"/>
      <w:r>
        <w:t xml:space="preserve">THE LEGAL DOCUMENT ASSISTANT (LDA) REGISTRATION PATH</w:t>
      </w:r>
      <w:bookmarkEnd w:id="26"/>
    </w:p>
    <w:p>
      <w:pPr>
        <w:pStyle w:val="FirstParagraph"/>
      </w:pPr>
      <w:r>
        <w:t xml:space="preserve">Business &amp; Professions Code §§ 6400–6415 creates the LDA category: a registered, bonded non-attorney who may prepare legal documents at a self-represented client’s direction. Vince should register as an LDA in Orange County.</w:t>
      </w:r>
    </w:p>
    <w:p>
      <w:pPr>
        <w:pStyle w:val="BodyText"/>
      </w:pPr>
      <w:r>
        <w:rPr>
          <w:b/>
        </w:rPr>
        <w:t xml:space="preserve">Registration requirements:</w:t>
      </w:r>
      <w:r>
        <w:t xml:space="preserve"> </w:t>
      </w:r>
      <w:r>
        <w:t xml:space="preserve">- Meet education under § 6402.1: high school plus paralegal certificate, OR two years of law-related experience under the supervision of an attorney, OR a bachelor’s degree. (Vince’s consulting background with Shawn likely already satisfies this.)</w:t>
      </w:r>
      <w:r>
        <w:t xml:space="preserve"> </w:t>
      </w:r>
      <w:r>
        <w:t xml:space="preserve">- File with the Orange County Clerk under § 6402. Two-year registration, $175 fee.</w:t>
      </w:r>
      <w:r>
        <w:t xml:space="preserve"> </w:t>
      </w:r>
      <w:r>
        <w:t xml:space="preserve">- Obtain $25,000 bond under § 6405.</w:t>
      </w:r>
      <w:r>
        <w:t xml:space="preserve"> </w:t>
      </w:r>
      <w:r>
        <w:t xml:space="preserve">- Disclose registration number on every client contract and advertisement.</w:t>
      </w:r>
      <w:r>
        <w:t xml:space="preserve"> </w:t>
      </w:r>
      <w:r>
        <w:t xml:space="preserve">- Use the statutory written contract required by § 6410 with every client.</w:t>
      </w:r>
      <w:r>
        <w:t xml:space="preserve"> </w:t>
      </w:r>
      <w:r>
        <w:t xml:space="preserve">- Retain client files for three years under § 6411.</w:t>
      </w:r>
    </w:p>
    <w:p>
      <w:pPr>
        <w:pStyle w:val="BodyText"/>
      </w:pPr>
      <w:r>
        <w:rPr>
          <w:b/>
        </w:rPr>
        <w:t xml:space="preserve">What LDA registration unlocks:</w:t>
      </w:r>
      <w:r>
        <w:t xml:space="preserve"> </w:t>
      </w:r>
      <w:r>
        <w:t xml:space="preserve">LDA status gives Vince statutory authority to</w:t>
      </w:r>
      <w:r>
        <w:t xml:space="preserve"> </w:t>
      </w:r>
      <w:r>
        <w:t xml:space="preserve">“</w:t>
      </w:r>
      <w:r>
        <w:t xml:space="preserve">self-help service</w:t>
      </w:r>
      <w:r>
        <w:t xml:space="preserve">”</w:t>
      </w:r>
      <w:r>
        <w:t xml:space="preserve"> </w:t>
      </w:r>
      <w:r>
        <w:t xml:space="preserve">document preparation under § 6400(f). This is a narrow authority — the LDA cannot advise, cannot select forms, cannot interpret law, cannot represent. But it gives Vince a clean statutory basis for the document-preparation portion of his work, layered ON TOP OF the Shawn attorney-of-record structure. It is a belt-and-suspenders compliance posture. The statutory LDA authority also serves as a defense against any UPL challenge — Vince can point to registration, bond, contract form, and statutory compliance.</w:t>
      </w:r>
    </w:p>
    <w:p>
      <w:pPr>
        <w:pStyle w:val="BodyText"/>
      </w:pPr>
      <w:r>
        <w:t xml:space="preserve">LDA status does NOT allow Vince to provide legal advice. It does NOT substitute for Shawn’s attorney sign-off. It runs parallel to Shawn’s engagement, not in replacement of it.</w:t>
      </w:r>
    </w:p>
    <w:p>
      <w:pPr>
        <w:pStyle w:val="BodyText"/>
      </w:pPr>
      <w:r>
        <w:rPr>
          <w:b/>
        </w:rPr>
        <w:t xml:space="preserve">Why every estate-planning client still gets Shawn.</w:t>
      </w:r>
      <w:r>
        <w:t xml:space="preserve"> </w:t>
      </w:r>
      <w:r>
        <w:t xml:space="preserve">The LDA framework was built for self-represented clients in uncontested matters with high-volume standard forms. Estate planning and asset protection at the depth Genesis delivers is not a simple form-filling exercise — it involves legal judgment on every instrument. LDA status is a compliance layer, not the primary authority. The primary authority to deliver legal instruments to the client is Shawn’s bar license.</w:t>
      </w:r>
    </w:p>
    <w:p>
      <w:r>
        <w:pict>
          <v:rect style="width:0;height:1.5pt" o:hralign="center" o:hrstd="t" o:hr="t"/>
        </w:pict>
      </w:r>
    </w:p>
    <w:p>
      <w:pPr>
        <w:pStyle w:val="Heading2"/>
      </w:pPr>
      <w:bookmarkStart w:id="27" w:name="Xaba04df1b262c3d41753f88b20266d4f35add0a"/>
      <w:r>
        <w:t xml:space="preserve">SAFE-HARBOR LANGUAGE FOR EVERY CLIENT ENGAGEMENT LETTER</w:t>
      </w:r>
      <w:bookmarkEnd w:id="27"/>
    </w:p>
    <w:p>
      <w:pPr>
        <w:pStyle w:val="FirstParagraph"/>
      </w:pPr>
      <w:r>
        <w:t xml:space="preserve">Every Vince/Genesis engagement letter must include, in plain English, language substantially as follows. This language is the compliance backbone and appears prominently in the engagement letter, not buried in a footnote.</w:t>
      </w:r>
    </w:p>
    <w:p>
      <w:pPr>
        <w:pStyle w:val="BodyText"/>
      </w:pPr>
      <w:r>
        <w:rPr>
          <w:b/>
        </w:rPr>
        <w:t xml:space="preserve">DISCLOSURE — NON-LEGAL SERVICES.</w:t>
      </w:r>
      <w:r>
        <w:t xml:space="preserve"> </w:t>
      </w:r>
      <w:r>
        <w:t xml:space="preserve">Vince Caruso Consulting and Genesis AI are NOT a law firm and do NOT provide legal services, legal advice, or legal representation. The services provided under this engagement are consulting, research, document preparation (under California’s Legal Document Assistant framework, Bus. &amp; Prof. Code §§ 6400 et seq.), family-governance advisory, compliance monitoring, and implementation logistics. No attorney-client relationship is formed by this engagement.</w:t>
      </w:r>
    </w:p>
    <w:p>
      <w:pPr>
        <w:pStyle w:val="BodyText"/>
      </w:pPr>
      <w:r>
        <w:rPr>
          <w:b/>
        </w:rPr>
        <w:t xml:space="preserve">ATTORNEY OF RECORD.</w:t>
      </w:r>
      <w:r>
        <w:t xml:space="preserve"> </w:t>
      </w:r>
      <w:r>
        <w:t xml:space="preserve">All legal services required by Client — including drafting, review, and execution of legal instruments; giving specific legal advice applied to Client’s specific facts; interpreting law; and representing Client before any court or tribunal — are provided by</w:t>
      </w:r>
      <w:r>
        <w:t xml:space="preserve"> </w:t>
      </w:r>
      <w:r>
        <w:rPr>
          <w:b/>
        </w:rPr>
        <w:t xml:space="preserve">Shawn Olson, Esq.</w:t>
      </w:r>
      <w:r>
        <w:t xml:space="preserve">, California State Bar Number [XXXXXX], under a</w:t>
      </w:r>
      <w:r>
        <w:t xml:space="preserve"> </w:t>
      </w:r>
      <w:r>
        <w:rPr>
          <w:b/>
        </w:rPr>
        <w:t xml:space="preserve">separate engagement letter</w:t>
      </w:r>
      <w:r>
        <w:t xml:space="preserve"> </w:t>
      </w:r>
      <w:r>
        <w:t xml:space="preserve">between Client and Shawn Olson’s law practice. Client’s attorney-client relationship exists between Client and Shawn Olson’s law practice, not between Client and Vince Caruso Consulting or Genesis AI. Vince Caruso Consulting is not authorized to speak for Shawn Olson, nor is Shawn Olson authorized to speak for Vince Caruso Consulting. The two engagements are legally independent.</w:t>
      </w:r>
    </w:p>
    <w:p>
      <w:pPr>
        <w:pStyle w:val="BodyText"/>
      </w:pPr>
      <w:r>
        <w:rPr>
          <w:b/>
        </w:rPr>
        <w:t xml:space="preserve">COORDINATION AUTHORIZATION.</w:t>
      </w:r>
      <w:r>
        <w:t xml:space="preserve"> </w:t>
      </w:r>
      <w:r>
        <w:t xml:space="preserve">Client authorizes Vince Caruso, Shawn Olson, and Genesis AI to communicate with each other about Client’s matter so that the three parties can coordinate the delivery of Client’s overall wealth-planning engagement. This coordination authorization does not convert the three engagements into a joint engagement. Client may revoke this coordination authorization at any time in writing, in which case Vince Caruso and Shawn Olson will continue to serve Client under their respective engagements but without further communication between them about Client’s matter.</w:t>
      </w:r>
    </w:p>
    <w:p>
      <w:pPr>
        <w:pStyle w:val="BodyText"/>
      </w:pPr>
      <w:r>
        <w:rPr>
          <w:b/>
        </w:rPr>
        <w:t xml:space="preserve">FEES.</w:t>
      </w:r>
      <w:r>
        <w:t xml:space="preserve"> </w:t>
      </w:r>
      <w:r>
        <w:t xml:space="preserve">The fees Client pays to Vince Caruso Consulting under this engagement are for non-legal consulting, research, document preparation, and monitoring services, priced at fair market rate for such services, and are NOT shared with Shawn Olson. The fees Client pays to Shawn Olson under Client’s separate legal-services engagement are paid by Client directly to Shawn Olson and are NOT shared with Vince Caruso or Genesis AI. No portion of any fee paid under either engagement is contingent on the outcome of any legal matter.</w:t>
      </w:r>
    </w:p>
    <w:p>
      <w:pPr>
        <w:pStyle w:val="BodyText"/>
      </w:pPr>
      <w:r>
        <w:rPr>
          <w:b/>
        </w:rPr>
        <w:t xml:space="preserve">UNAUTHORIZED PRACTICE OF LAW DISCLAIMER.</w:t>
      </w:r>
      <w:r>
        <w:t xml:space="preserve"> </w:t>
      </w:r>
      <w:r>
        <w:t xml:space="preserve">Nothing in this engagement is intended to constitute or be interpreted as the unauthorized practice of law by Vince Caruso Consulting or Genesis AI. If any service provided under this engagement would constitute the practice of law, that service will be performed by Shawn Olson under Client’s separate legal-services engagement or referred to another qualified licensed attorney.</w:t>
      </w:r>
    </w:p>
    <w:p>
      <w:pPr>
        <w:pStyle w:val="BodyText"/>
      </w:pPr>
      <w:r>
        <w:rPr>
          <w:b/>
        </w:rPr>
        <w:t xml:space="preserve">CLIENT ACKNOWLEDGMENT.</w:t>
      </w:r>
      <w:r>
        <w:t xml:space="preserve"> </w:t>
      </w:r>
      <w:r>
        <w:t xml:space="preserve">Client acknowledges that Client has read, understood, and freely accepted the terms above; that Client has had the opportunity to consult with an independent attorney of Client’s choosing regarding the two-engagement structure; and that Client’s decision to engage Vince Caruso Consulting and Shawn Olson separately for the respective services described above is Client’s informed, voluntary choice.</w:t>
      </w:r>
    </w:p>
    <w:p>
      <w:r>
        <w:pict>
          <v:rect style="width:0;height:1.5pt" o:hralign="center" o:hrstd="t" o:hr="t"/>
        </w:pict>
      </w:r>
    </w:p>
    <w:p>
      <w:pPr>
        <w:pStyle w:val="Heading2"/>
      </w:pPr>
      <w:bookmarkStart w:id="28" w:name="X1531469962bc2f2e4a83d1f30bd9fa836842993"/>
      <w:r>
        <w:t xml:space="preserve">CLIENT-SCREENING PROTOCOL (UVTA FIRST, UPL SECOND)</w:t>
      </w:r>
      <w:bookmarkEnd w:id="28"/>
    </w:p>
    <w:p>
      <w:pPr>
        <w:pStyle w:val="FirstParagraph"/>
      </w:pPr>
      <w:r>
        <w:t xml:space="preserve">Every prospective client is screened at intake against the following gates before any engagement letter is signed:</w:t>
      </w:r>
    </w:p>
    <w:p>
      <w:pPr>
        <w:pStyle w:val="BodyText"/>
      </w:pPr>
      <w:r>
        <w:rPr>
          <w:b/>
        </w:rPr>
        <w:t xml:space="preserve">Gate 1 — UVTA Clean-Window Test.</w:t>
      </w:r>
      <w:r>
        <w:t xml:space="preserve"> </w:t>
      </w:r>
      <w:r>
        <w:t xml:space="preserve">Client is asked, in writing and under signed solvency affidavit:</w:t>
      </w:r>
      <w:r>
        <w:t xml:space="preserve"> </w:t>
      </w:r>
      <w:r>
        <w:t xml:space="preserve">- Is any claim currently pending against you?</w:t>
      </w:r>
      <w:r>
        <w:t xml:space="preserve"> </w:t>
      </w:r>
      <w:r>
        <w:t xml:space="preserve">- Is any claim currently threatened?</w:t>
      </w:r>
      <w:r>
        <w:t xml:space="preserve"> </w:t>
      </w:r>
      <w:r>
        <w:t xml:space="preserve">- Do you anticipate any claim in the reasonably foreseeable future?</w:t>
      </w:r>
      <w:r>
        <w:t xml:space="preserve"> </w:t>
      </w:r>
      <w:r>
        <w:t xml:space="preserve">- Are you currently solvent (assets exceed debts at fair valuation, and cash flow sufficient to meet current obligations)?</w:t>
      </w:r>
      <w:r>
        <w:t xml:space="preserve"> </w:t>
      </w:r>
      <w:r>
        <w:t xml:space="preserve">- Is any bankruptcy petition pending or anticipated?</w:t>
      </w:r>
      <w:r>
        <w:t xml:space="preserve"> </w:t>
      </w:r>
      <w:r>
        <w:t xml:space="preserve">- Are you subject to any current court order restricting asset transfers?</w:t>
      </w:r>
    </w:p>
    <w:p>
      <w:pPr>
        <w:pStyle w:val="BodyText"/>
      </w:pPr>
      <w:r>
        <w:t xml:space="preserve">If any answer raises a UVTA § 4 badge-of-fraud concern, the engagement is declined or restricted to pre-UVTA-risk educational services only. Genesis’s Fraudulent-Transfer Detector scores the intake. Shawn reviews any close call. The engagement letter carries an explicit acknowledgement that Client’s representations above are material to the engagement and that Client understands any material misrepresentation voids the engagement.</w:t>
      </w:r>
    </w:p>
    <w:p>
      <w:pPr>
        <w:pStyle w:val="BodyText"/>
      </w:pPr>
      <w:r>
        <w:rPr>
          <w:b/>
        </w:rPr>
        <w:t xml:space="preserve">Gate 2 — UPL Proper-Scope Test.</w:t>
      </w:r>
      <w:r>
        <w:t xml:space="preserve"> </w:t>
      </w:r>
      <w:r>
        <w:t xml:space="preserve">The engagement scope is confirmed to fall within Vince’s permitted perimeter and within the Shawn-as-attorney-of-record architecture described above. Any service that would require a California-licensed attorney is routed to Shawn, not performed by Vince. Any dispute with an adverse party that would require court representation is referred to Shawn or to another appropriately-specialized attorney.</w:t>
      </w:r>
    </w:p>
    <w:p>
      <w:pPr>
        <w:pStyle w:val="BodyText"/>
      </w:pPr>
      <w:r>
        <w:rPr>
          <w:b/>
        </w:rPr>
        <w:t xml:space="preserve">Gate 3 — Capacity and Intent Test.</w:t>
      </w:r>
      <w:r>
        <w:t xml:space="preserve"> </w:t>
      </w:r>
      <w:r>
        <w:t xml:space="preserve">Client has full testamentary capacity (basic</w:t>
      </w:r>
      <w:r>
        <w:t xml:space="preserve"> </w:t>
      </w:r>
      <w:r>
        <w:rPr>
          <w:i/>
        </w:rPr>
        <w:t xml:space="preserve">Cuneo</w:t>
      </w:r>
      <w:r>
        <w:t xml:space="preserve"> </w:t>
      </w:r>
      <w:r>
        <w:t xml:space="preserve">/ Cal. Prob. Code § 6100.5 test — understands nature of the act, understands the property, understands relationships, not suffering from delusions that would alter disposition). Client is not under undue influence. Client’s motive is consistent with the stewardship frame — not evading a valid debt, not hiding from a spouse in a divorce, not defeating a child-support obligation.</w:t>
      </w:r>
    </w:p>
    <w:p>
      <w:pPr>
        <w:pStyle w:val="BodyText"/>
      </w:pPr>
      <w:r>
        <w:rPr>
          <w:b/>
        </w:rPr>
        <w:t xml:space="preserve">Gate 4 — Conflict Check (Shawn’s side).</w:t>
      </w:r>
      <w:r>
        <w:t xml:space="preserve"> </w:t>
      </w:r>
      <w:r>
        <w:t xml:space="preserve">Shawn’s firm runs a standard conflict check against the prospective client and any parties the prospective client names. If a conflict exists, Shawn declines and Vince refers the client to another attorney.</w:t>
      </w:r>
    </w:p>
    <w:p>
      <w:pPr>
        <w:pStyle w:val="BodyText"/>
      </w:pPr>
      <w:r>
        <w:t xml:space="preserve">If all four gates pass, the dual engagement letters are issued.</w:t>
      </w:r>
    </w:p>
    <w:p>
      <w:r>
        <w:pict>
          <v:rect style="width:0;height:1.5pt" o:hralign="center" o:hrstd="t" o:hr="t"/>
        </w:pict>
      </w:r>
    </w:p>
    <w:p>
      <w:pPr>
        <w:pStyle w:val="Heading2"/>
      </w:pPr>
      <w:bookmarkStart w:id="29" w:name="the-proper-handoff-sequence"/>
      <w:r>
        <w:t xml:space="preserve">THE PROPER HANDOFF SEQUENCE</w:t>
      </w:r>
      <w:bookmarkEnd w:id="29"/>
    </w:p>
    <w:p>
      <w:pPr>
        <w:pStyle w:val="FirstParagraph"/>
      </w:pPr>
      <w:r>
        <w:t xml:space="preserve">Every client matter flows through the same handoff sequence to preserve the compliance architecture:</w:t>
      </w:r>
    </w:p>
    <w:p>
      <w:pPr>
        <w:numPr>
          <w:ilvl w:val="0"/>
          <w:numId w:val="1003"/>
        </w:numPr>
        <w:pStyle w:val="Compact"/>
      </w:pPr>
      <w:r>
        <w:rPr>
          <w:b/>
        </w:rPr>
        <w:t xml:space="preserve">Vince intake.</w:t>
      </w:r>
      <w:r>
        <w:t xml:space="preserve"> </w:t>
      </w:r>
      <w:r>
        <w:t xml:space="preserve">Vince conducts the initial conversation and gathers facts.</w:t>
      </w:r>
    </w:p>
    <w:p>
      <w:pPr>
        <w:numPr>
          <w:ilvl w:val="0"/>
          <w:numId w:val="1003"/>
        </w:numPr>
        <w:pStyle w:val="Compact"/>
      </w:pPr>
      <w:r>
        <w:rPr>
          <w:b/>
        </w:rPr>
        <w:t xml:space="preserve">Genesis research.</w:t>
      </w:r>
      <w:r>
        <w:t xml:space="preserve"> </w:t>
      </w:r>
      <w:r>
        <w:t xml:space="preserve">Genesis ingests the intake, pulls from the Wealth Sovereignty research library, and produces a preliminary stack design and draft instruments.</w:t>
      </w:r>
    </w:p>
    <w:p>
      <w:pPr>
        <w:numPr>
          <w:ilvl w:val="0"/>
          <w:numId w:val="1003"/>
        </w:numPr>
        <w:pStyle w:val="Compact"/>
      </w:pPr>
      <w:r>
        <w:rPr>
          <w:b/>
        </w:rPr>
        <w:t xml:space="preserve">Solvency affidavit + conflict check.</w:t>
      </w:r>
      <w:r>
        <w:t xml:space="preserve"> </w:t>
      </w:r>
      <w:r>
        <w:t xml:space="preserve">Client signs the solvency affidavit; Shawn runs the conflict check.</w:t>
      </w:r>
    </w:p>
    <w:p>
      <w:pPr>
        <w:numPr>
          <w:ilvl w:val="0"/>
          <w:numId w:val="1003"/>
        </w:numPr>
        <w:pStyle w:val="Compact"/>
      </w:pPr>
      <w:r>
        <w:rPr>
          <w:b/>
        </w:rPr>
        <w:t xml:space="preserve">Dual engagement letters.</w:t>
      </w:r>
      <w:r>
        <w:t xml:space="preserve"> </w:t>
      </w:r>
      <w:r>
        <w:t xml:space="preserve">Client executes both engagement letters. Fees paid into the respective accounts.</w:t>
      </w:r>
    </w:p>
    <w:p>
      <w:pPr>
        <w:numPr>
          <w:ilvl w:val="0"/>
          <w:numId w:val="1003"/>
        </w:numPr>
        <w:pStyle w:val="Compact"/>
      </w:pPr>
      <w:r>
        <w:rPr>
          <w:b/>
        </w:rPr>
        <w:t xml:space="preserve">Shawn review.</w:t>
      </w:r>
      <w:r>
        <w:t xml:space="preserve"> </w:t>
      </w:r>
      <w:r>
        <w:t xml:space="preserve">Shawn reviews every draft legal instrument, applies legal judgment, makes any changes, and signs off as drafting attorney.</w:t>
      </w:r>
    </w:p>
    <w:p>
      <w:pPr>
        <w:numPr>
          <w:ilvl w:val="0"/>
          <w:numId w:val="1003"/>
        </w:numPr>
        <w:pStyle w:val="Compact"/>
      </w:pPr>
      <w:r>
        <w:rPr>
          <w:b/>
        </w:rPr>
        <w:t xml:space="preserve">Vince delivery.</w:t>
      </w:r>
      <w:r>
        <w:t xml:space="preserve"> </w:t>
      </w:r>
      <w:r>
        <w:t xml:space="preserve">Vince schedules the execution ceremony (conducted by Shawn), delivers the binder, begins the funding implementation, and activates monitoring.</w:t>
      </w:r>
    </w:p>
    <w:p>
      <w:pPr>
        <w:numPr>
          <w:ilvl w:val="0"/>
          <w:numId w:val="1003"/>
        </w:numPr>
        <w:pStyle w:val="Compact"/>
      </w:pPr>
      <w:r>
        <w:rPr>
          <w:b/>
        </w:rPr>
        <w:t xml:space="preserve">Monitoring.</w:t>
      </w:r>
      <w:r>
        <w:t xml:space="preserve"> </w:t>
      </w:r>
      <w:r>
        <w:t xml:space="preserve">Genesis watches everything continuously. Vince is the human relationship. Shawn is on call for legal questions.</w:t>
      </w:r>
    </w:p>
    <w:p>
      <w:pPr>
        <w:pStyle w:val="FirstParagraph"/>
      </w:pPr>
      <w:r>
        <w:t xml:space="preserve">Every step of this sequence is logged in Genesis’s Compliance Audit Trail — every document produced, every review signed off, every deliverable sent, every communication between the parties. If the State Bar ever inquires about the arrangement, the audit trail speaks for itself.</w:t>
      </w:r>
    </w:p>
    <w:p>
      <w:r>
        <w:pict>
          <v:rect style="width:0;height:1.5pt" o:hralign="center" o:hrstd="t" o:hr="t"/>
        </w:pict>
      </w:r>
    </w:p>
    <w:p>
      <w:pPr>
        <w:pStyle w:val="Heading2"/>
      </w:pPr>
      <w:bookmarkStart w:id="30" w:name="fee-structure-compliance-the-four-tests"/>
      <w:r>
        <w:t xml:space="preserve">FEE-STRUCTURE COMPLIANCE (THE FOUR TESTS)</w:t>
      </w:r>
      <w:bookmarkEnd w:id="30"/>
    </w:p>
    <w:p>
      <w:pPr>
        <w:pStyle w:val="FirstParagraph"/>
      </w:pPr>
      <w:r>
        <w:t xml:space="preserve">Every fee charged under this architecture is tested against four compliance tests before it is invoiced:</w:t>
      </w:r>
    </w:p>
    <w:p>
      <w:pPr>
        <w:numPr>
          <w:ilvl w:val="0"/>
          <w:numId w:val="1004"/>
        </w:numPr>
      </w:pPr>
      <w:r>
        <w:rPr>
          <w:b/>
        </w:rPr>
        <w:t xml:space="preserve">Fair market rate for the specific service rendered.</w:t>
      </w:r>
      <w:r>
        <w:t xml:space="preserve"> </w:t>
      </w:r>
      <w:r>
        <w:t xml:space="preserve">Vince’s consulting fees are benchmarked against comparable non-legal consulting services (family-office coordinators, CPAs’ advisory rates, independent-consulting hourly rates in the Southern California market). Genesis’s vendor-services rates to Shawn are benchmarked against comparable legal-research and document-automation vendor rates (Thomson Reuters, LexisNexis, Clio, DocAssemble, comparable AI-research vendors).</w:t>
      </w:r>
    </w:p>
    <w:p>
      <w:pPr>
        <w:numPr>
          <w:ilvl w:val="0"/>
          <w:numId w:val="1004"/>
        </w:numPr>
      </w:pPr>
      <w:r>
        <w:rPr>
          <w:b/>
        </w:rPr>
        <w:t xml:space="preserve">Independent of case outcome.</w:t>
      </w:r>
      <w:r>
        <w:t xml:space="preserve"> </w:t>
      </w:r>
      <w:r>
        <w:t xml:space="preserve">No contingency. No success bonus. No percentage of the client’s estate or of the tax savings realized. The fee is the fee, regardless of whether the client’s plan prevents a lawsuit, avoids a probate, or saves estate tax.</w:t>
      </w:r>
    </w:p>
    <w:p>
      <w:pPr>
        <w:numPr>
          <w:ilvl w:val="0"/>
          <w:numId w:val="1004"/>
        </w:numPr>
      </w:pPr>
      <w:r>
        <w:rPr>
          <w:b/>
        </w:rPr>
        <w:t xml:space="preserve">Based on time, deliverable, or subscription — not on estate size or legal complexity.</w:t>
      </w:r>
      <w:r>
        <w:t xml:space="preserve"> </w:t>
      </w:r>
      <w:r>
        <w:t xml:space="preserve">Tier 1 is a flat fee of $3,500–$6,000. Tier 2 is $7,500–$15,000. Tier 3 is $15,000–$40,000+. Monitoring is a flat monthly subscription. The fee scales with deliverable scope, not with client wealth.</w:t>
      </w:r>
    </w:p>
    <w:p>
      <w:pPr>
        <w:numPr>
          <w:ilvl w:val="0"/>
          <w:numId w:val="1004"/>
        </w:numPr>
      </w:pPr>
      <w:r>
        <w:rPr>
          <w:b/>
        </w:rPr>
        <w:t xml:space="preserve">Invoiced and documented separately from any legal services.</w:t>
      </w:r>
      <w:r>
        <w:t xml:space="preserve"> </w:t>
      </w:r>
      <w:r>
        <w:t xml:space="preserve">Vince’s invoice lists non-legal services. Shawn’s invoice lists legal services. No combined bill. No client confusion about what is being paid to whom.</w:t>
      </w:r>
    </w:p>
    <w:p>
      <w:r>
        <w:pict>
          <v:rect style="width:0;height:1.5pt" o:hralign="center" o:hrstd="t" o:hr="t"/>
        </w:pict>
      </w:r>
    </w:p>
    <w:p>
      <w:pPr>
        <w:pStyle w:val="Heading2"/>
      </w:pPr>
      <w:bookmarkStart w:id="31" w:name="what-happens-if-the-state-bar-inquires"/>
      <w:r>
        <w:t xml:space="preserve">WHAT HAPPENS IF THE STATE BAR INQUIRES</w:t>
      </w:r>
      <w:bookmarkEnd w:id="31"/>
    </w:p>
    <w:p>
      <w:pPr>
        <w:pStyle w:val="FirstParagraph"/>
      </w:pPr>
      <w:r>
        <w:t xml:space="preserve">Every piece of the architecture is designed so that if the State Bar of California Office of Chief Trial Counsel ever inquires about the Vince + Shawn + Genesis arrangement, the answer is documented and defensible:</w:t>
      </w:r>
    </w:p>
    <w:p>
      <w:pPr>
        <w:numPr>
          <w:ilvl w:val="0"/>
          <w:numId w:val="1005"/>
        </w:numPr>
        <w:pStyle w:val="Compact"/>
      </w:pPr>
      <w:r>
        <w:rPr>
          <w:b/>
        </w:rPr>
        <w:t xml:space="preserve">Two engagement letters</w:t>
      </w:r>
      <w:r>
        <w:t xml:space="preserve"> </w:t>
      </w:r>
      <w:r>
        <w:t xml:space="preserve">clearly demarcating the scope of each engagement.</w:t>
      </w:r>
    </w:p>
    <w:p>
      <w:pPr>
        <w:numPr>
          <w:ilvl w:val="0"/>
          <w:numId w:val="1005"/>
        </w:numPr>
        <w:pStyle w:val="Compact"/>
      </w:pPr>
      <w:r>
        <w:rPr>
          <w:b/>
        </w:rPr>
        <w:t xml:space="preserve">Two bank accounts</w:t>
      </w:r>
      <w:r>
        <w:t xml:space="preserve"> </w:t>
      </w:r>
      <w:r>
        <w:t xml:space="preserve">clearly separating the flows of money.</w:t>
      </w:r>
    </w:p>
    <w:p>
      <w:pPr>
        <w:numPr>
          <w:ilvl w:val="0"/>
          <w:numId w:val="1005"/>
        </w:numPr>
        <w:pStyle w:val="Compact"/>
      </w:pPr>
      <w:r>
        <w:rPr>
          <w:b/>
        </w:rPr>
        <w:t xml:space="preserve">Two invoices per client</w:t>
      </w:r>
      <w:r>
        <w:t xml:space="preserve"> </w:t>
      </w:r>
      <w:r>
        <w:t xml:space="preserve">clearly itemizing the services each party rendered.</w:t>
      </w:r>
    </w:p>
    <w:p>
      <w:pPr>
        <w:numPr>
          <w:ilvl w:val="0"/>
          <w:numId w:val="1005"/>
        </w:numPr>
        <w:pStyle w:val="Compact"/>
      </w:pPr>
      <w:r>
        <w:rPr>
          <w:b/>
        </w:rPr>
        <w:t xml:space="preserve">A vendor-services agreement</w:t>
      </w:r>
      <w:r>
        <w:t xml:space="preserve"> </w:t>
      </w:r>
      <w:r>
        <w:t xml:space="preserve">between Shawn and Genesis with market-rate documentation.</w:t>
      </w:r>
    </w:p>
    <w:p>
      <w:pPr>
        <w:numPr>
          <w:ilvl w:val="0"/>
          <w:numId w:val="1005"/>
        </w:numPr>
        <w:pStyle w:val="Compact"/>
      </w:pPr>
      <w:r>
        <w:rPr>
          <w:b/>
        </w:rPr>
        <w:t xml:space="preserve">A Compliance Audit Trail</w:t>
      </w:r>
      <w:r>
        <w:t xml:space="preserve"> </w:t>
      </w:r>
      <w:r>
        <w:t xml:space="preserve">logging every deliverable, every review, every sign-off.</w:t>
      </w:r>
    </w:p>
    <w:p>
      <w:pPr>
        <w:numPr>
          <w:ilvl w:val="0"/>
          <w:numId w:val="1005"/>
        </w:numPr>
        <w:pStyle w:val="Compact"/>
      </w:pPr>
      <w:r>
        <w:rPr>
          <w:b/>
        </w:rPr>
        <w:t xml:space="preserve">A written UPL Compliance Framework</w:t>
      </w:r>
      <w:r>
        <w:t xml:space="preserve"> </w:t>
      </w:r>
      <w:r>
        <w:t xml:space="preserve">(this document) referenced in every engagement letter.</w:t>
      </w:r>
    </w:p>
    <w:p>
      <w:pPr>
        <w:numPr>
          <w:ilvl w:val="0"/>
          <w:numId w:val="1005"/>
        </w:numPr>
        <w:pStyle w:val="Compact"/>
      </w:pPr>
      <w:r>
        <w:rPr>
          <w:b/>
        </w:rPr>
        <w:t xml:space="preserve">LDA registration</w:t>
      </w:r>
      <w:r>
        <w:t xml:space="preserve"> </w:t>
      </w:r>
      <w:r>
        <w:t xml:space="preserve">for Vince in Orange County documenting his narrow statutory authority.</w:t>
      </w:r>
    </w:p>
    <w:p>
      <w:pPr>
        <w:numPr>
          <w:ilvl w:val="0"/>
          <w:numId w:val="1005"/>
        </w:numPr>
        <w:pStyle w:val="Compact"/>
      </w:pPr>
      <w:r>
        <w:rPr>
          <w:b/>
        </w:rPr>
        <w:t xml:space="preserve">Malpractice insurance</w:t>
      </w:r>
      <w:r>
        <w:t xml:space="preserve"> </w:t>
      </w:r>
      <w:r>
        <w:t xml:space="preserve">on Shawn’s practice covering the legal work.</w:t>
      </w:r>
    </w:p>
    <w:p>
      <w:pPr>
        <w:numPr>
          <w:ilvl w:val="0"/>
          <w:numId w:val="1005"/>
        </w:numPr>
        <w:pStyle w:val="Compact"/>
      </w:pPr>
      <w:r>
        <w:rPr>
          <w:b/>
        </w:rPr>
        <w:t xml:space="preserve">Written disclosure to every client</w:t>
      </w:r>
      <w:r>
        <w:t xml:space="preserve"> </w:t>
      </w:r>
      <w:r>
        <w:t xml:space="preserve">of the three-party architecture.</w:t>
      </w:r>
    </w:p>
    <w:p>
      <w:pPr>
        <w:numPr>
          <w:ilvl w:val="0"/>
          <w:numId w:val="1005"/>
        </w:numPr>
        <w:pStyle w:val="Compact"/>
      </w:pPr>
      <w:r>
        <w:rPr>
          <w:b/>
        </w:rPr>
        <w:t xml:space="preserve">Client consent</w:t>
      </w:r>
      <w:r>
        <w:t xml:space="preserve"> </w:t>
      </w:r>
      <w:r>
        <w:t xml:space="preserve">to the coordination authorization.</w:t>
      </w:r>
    </w:p>
    <w:p>
      <w:pPr>
        <w:numPr>
          <w:ilvl w:val="0"/>
          <w:numId w:val="1005"/>
        </w:numPr>
        <w:pStyle w:val="Compact"/>
      </w:pPr>
      <w:r>
        <w:rPr>
          <w:b/>
        </w:rPr>
        <w:t xml:space="preserve">Solvency affidavit</w:t>
      </w:r>
      <w:r>
        <w:t xml:space="preserve"> </w:t>
      </w:r>
      <w:r>
        <w:t xml:space="preserve">from every client documenting UVTA clean-window intake.</w:t>
      </w:r>
    </w:p>
    <w:p>
      <w:pPr>
        <w:pStyle w:val="FirstParagraph"/>
      </w:pPr>
      <w:r>
        <w:t xml:space="preserve">The State Bar’s concern under Rule 5.4 is (a) non-lawyer interference with attorney professional judgment and (b) economic incentives that push lawyers toward particular outcomes. Neither concern is implicated here: Shawn exercises independent legal judgment on every instrument, Genesis’s fees are fair-market vendor-services payments tied to actual work performed rather than to client outcomes, and Vince’s consulting fees are tied to his own non-legal services rendered rather than to Shawn’s legal fee.</w:t>
      </w:r>
    </w:p>
    <w:p>
      <w:r>
        <w:pict>
          <v:rect style="width:0;height:1.5pt" o:hralign="center" o:hrstd="t" o:hr="t"/>
        </w:pict>
      </w:r>
    </w:p>
    <w:p>
      <w:pPr>
        <w:pStyle w:val="Heading2"/>
      </w:pPr>
      <w:bookmarkStart w:id="32" w:name="the-2026-ai-specific-layer"/>
      <w:r>
        <w:t xml:space="preserve">THE 2026 AI-SPECIFIC LAYER</w:t>
      </w:r>
      <w:bookmarkEnd w:id="32"/>
    </w:p>
    <w:p>
      <w:pPr>
        <w:pStyle w:val="FirstParagraph"/>
      </w:pPr>
      <w:r>
        <w:t xml:space="preserve">California State Bar’s November 2023 Practical Guidance on the Use of Generative Artificial Intelligence in the Practice of Law, the ABA Standing Committee on Ethics and Professional Responsibility Formal Opinion 510 (August 2024), and the continuously-updated COPRAC practical guidance all converge on the same principle:</w:t>
      </w:r>
      <w:r>
        <w:t xml:space="preserve"> </w:t>
      </w:r>
      <w:r>
        <w:rPr>
          <w:b/>
        </w:rPr>
        <w:t xml:space="preserve">AI is a tool; the supervising attorney remains responsible; UPL turns on who exercises legal judgment, not on the mechanism that produces the text</w:t>
      </w:r>
      <w:r>
        <w:t xml:space="preserve">.</w:t>
      </w:r>
    </w:p>
    <w:p>
      <w:pPr>
        <w:pStyle w:val="BodyText"/>
      </w:pPr>
      <w:r>
        <w:t xml:space="preserve">Under this framework, Genesis’s AI-assisted drafting for Shawn is compliant provided:</w:t>
      </w:r>
      <w:r>
        <w:t xml:space="preserve"> </w:t>
      </w:r>
      <w:r>
        <w:t xml:space="preserve">- Shawn reviews every AI-produced draft before it reaches the client.</w:t>
      </w:r>
      <w:r>
        <w:t xml:space="preserve"> </w:t>
      </w:r>
      <w:r>
        <w:t xml:space="preserve">- Shawn applies legal judgment to the draft.</w:t>
      </w:r>
      <w:r>
        <w:t xml:space="preserve"> </w:t>
      </w:r>
      <w:r>
        <w:t xml:space="preserve">- Shawn corrects anything that is wrong or that requires professional adjustment.</w:t>
      </w:r>
      <w:r>
        <w:t xml:space="preserve"> </w:t>
      </w:r>
      <w:r>
        <w:t xml:space="preserve">- Shawn signs off as the drafting attorney.</w:t>
      </w:r>
      <w:r>
        <w:t xml:space="preserve"> </w:t>
      </w:r>
      <w:r>
        <w:t xml:space="preserve">- The client is disclosed, at engagement, that AI-assisted research and drafting is used.</w:t>
      </w:r>
      <w:r>
        <w:t xml:space="preserve"> </w:t>
      </w:r>
      <w:r>
        <w:t xml:space="preserve">- No AI output reaches the client without attorney review.</w:t>
      </w:r>
    </w:p>
    <w:p>
      <w:pPr>
        <w:pStyle w:val="BodyText"/>
      </w:pPr>
      <w:r>
        <w:t xml:space="preserve">Every Genesis deliverable is tagged with a confidence score, a complexity score, and a legal-judgment-required score. Outputs crossing any threshold route automatically to Shawn before any other step. The audit trail captures every routing decision.</w:t>
      </w:r>
    </w:p>
    <w:p>
      <w:r>
        <w:pict>
          <v:rect style="width:0;height:1.5pt" o:hralign="center" o:hrstd="t" o:hr="t"/>
        </w:pict>
      </w:r>
    </w:p>
    <w:p>
      <w:pPr>
        <w:pStyle w:val="Heading2"/>
      </w:pPr>
      <w:bookmarkStart w:id="33" w:name="final-word"/>
      <w:r>
        <w:t xml:space="preserve">FINAL WORD</w:t>
      </w:r>
      <w:bookmarkEnd w:id="33"/>
    </w:p>
    <w:p>
      <w:pPr>
        <w:pStyle w:val="FirstParagraph"/>
      </w:pPr>
      <w:r>
        <w:t xml:space="preserve">This framework is not optional. It is the foundation on which every engagement under this offering stands. The three parties sign it into every engagement letter by reference. The Genesis Compliance Audit Trail logs compliance with it on every matter. Shawn Olson’s bar license and Vince Caruso’s freedom from § 6126 prosecution both run through it.</w:t>
      </w:r>
    </w:p>
    <w:p>
      <w:pPr>
        <w:pStyle w:val="BodyText"/>
      </w:pPr>
      <w:r>
        <w:t xml:space="preserve">The Kingdom honors righteousness, not cleverness. Romans 13:1–7 teaches respect for governing authority. California’s UPL regime is not evil; it exists to protect vulnerable clients from exploitation. We operate within it cleanly and use its discipline to build a structure that is more transparent, more professional, and more accountable than the status quo. The Kingdom rises through faithful compliance, not through circumvention.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2026-05-01T05:29:02Z</dcterms:created>
  <dcterms:modified xsi:type="dcterms:W3CDTF">2026-05-01T05:29:02Z</dcterms:modified>
</cp:coreProperties>
</file>

<file path=docProps/custom.xml><?xml version="1.0" encoding="utf-8"?>
<Properties xmlns="http://schemas.openxmlformats.org/officeDocument/2006/custom-properties" xmlns:vt="http://schemas.openxmlformats.org/officeDocument/2006/docPropsVTypes"/>
</file>